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7602-2014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7602-2014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diciembre de 2014 tuvo entrada en el Registro General de este Tribunal un escrito de la Sección Segunda de la Sala de lo Contencioso-Administrativo del Tribunal Superior de Justicia de Castilla-La Mancha al que se acompaña, junto al testimonio del procedimiento ordinario núm. 119-2011, el Auto de 4 de noviembre de 2014, por el que se acuerda plantear cuestión de inconstitucionalidad respecto a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persona física, propietaria de varias fincas afectadas por el proyecto de expropiación derivado del “proyecto de singular interés Parque Industrial y Tecnológico de Illescas”, recurre en vía contencioso-administrativa la resolución del Jurado Regional de Valoraciones de la Junta de Comunidades de Castilla-La Mancha que fijó el justiprecio de las fincas, que se encontraban en situación de rústicas.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señalada la fecha para votación y fallo del proceso el 13 de octubre de 2014, la Sección Segunda de la Sala de lo Contencioso-Administrativo del Tribunal Superior de Justicia de Castilla-La Mancha dictó providencia de la misma fecha,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arts. 12 y 25, por la posible vulneración de los arts. 14 y 33.3 CE, a la vista de la STC 141/2014, de 11 de septiembre. En la citada providencia se pone de manifiesto que la valoración debe realizarse aplicando uno de los dos siguientes criterios de valoración: (i) si se considerase que los interesados no han adquirido la facultad de urbanizar tendrían que ser valorados por capitalización de rentas y no por comparación, lo que impide llegar al valor real de los terrenos a la vista de su situación en un entorno urbano y su real interés en un mercado ajeno al agrícola; (ii) si se considerase que los suelos son urbanizables delimitados, ni la aplicación del método de capitalización de rentas ni la indemnización contemplada en el art. 25 del Real Decreto Legislativo 2/2008 permitiría llegar al valor real del bien. Fuera cual fuera la opción seguida, ello podría vulnerar el art. 33.3 CE y el art. 14 CE en cuanto se permite al resto de los propietarios realizar su valor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consideró pertinente el planteamiento de la cuestión de inconstitucionalidad. Razonó que concurrían los requisitos procesales y, en cuanto al fondo, sostuvo “que el sistema de valoración previsto en la Ley no sea absurdo o manifiestamente irrazonable no supone —al menos, no necesariamente— que el mismo garantice efectivamente el derecho a percibir la contraprestación económica que corresponda al valor real de los bienes y derechos expropiados cualquiera que sea éste, pues no es difícil imaginar supuestos (entre los que cabría incluir el sometido al conocimiento de la Sala) en que la aplicación de los criterios legales podría conducir a decisiones que violentasen el razonable equilibrio entre el daño expropiatorio y su indemnización, con el consiguiente menoscabo de la garantía consagrada en el artículo 33.3 CE. De ahí que esta representación entienda que …, prima facie, sus previsiones [de los preceptos cuestionados]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No llega a la misma conclusión en el caso del art. 14 CE pues es claro, en su opinión, que la situación del propietario que va a ser expropiado no es la de quien puede vender el suelo en 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se opuso al planteamiento de la cuestión por lo que hace a los arts. 23.1 y 23.2 del Real Decreto Legislativo 2/2008, con el argumento de que la STC 141/2014 los había declarado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actor consideró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4 de noviembre de 2014, por el que se acuerda plantear cuestión de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tras referirse a los antecedentes de hecho del caso y transcribir los preceptos cuestionados, aborda los requisitos de procedibilidad. Expone que se ha dado traslado a las partes de la cuestión una vez conclusas las actuaciones y, respecto del juicio de relevancia, dice que “los preceptos cuestionados son directamente aplicables al caso pues establecen las normas imperativas de valoración del suelo en una expropiación, que es de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el Jurado Regional de Valoraciones tasó los bienes haciendo aplicación del art. 23 en sus apartados 1 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proyecto de singular interés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destaca que la Ley de expropiación forzosa contenía sus propias reglas de valoración, que se veían reforzadas por el artículo 43 que, como mecanismo de cierre, permitía aplicar los criterios estimativos que se adecuasen mejor al mantenimiento de la indemnidad exigida por el art. 33.3 CE. Sin embargo, el mencionado precepto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de 20 de junio), por lo que en la actualidad tanto los Jurados como los Tribunales de Justicia se encuentran encorsetados por las rígidas reglas que al efecto se contienen en la actual legislación.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que, aunque nada hay de inconstitucional en que la ley pueda establecer unos métodos de valoración determinados u otros, “sí afirmamos que será difícilmente constitucional que de manera manifiesta impida dar con un valor real, valor que a nuestro juicio equivale a un valor que sea próximo al del mercado propio del bien de que se trate … Ya sea porque el método sea inadecuado y ajeno por completo al mercado, ya porque impida incluir en el valor del bien circunstancias que influyan legítimamente en dicho valor. Pues en otro caso el propietario expropiado, por un lado, no recibiría el equivalente monetario del valor del bien (art. 33 CE), y, por otro, estaría discriminado frente a quien, por no ser expropiado, o bien conserva íntegro dicho valor mediante la posesión del objeto, o bien lo realiza mediante una transacción económica libre (art. 14 CE). Sólo en circunstancias excepcionales y justificadas, y que por tanto —añadimos nosotros— no pueden convertirse en la regla general para cualquier expropiación forzosa, cabría aceptar una reparación no íntegra del valor real del bien (SSTEDH de 8 de junio de 1986 —caso Lightgow y otros contra Reino Unido—, 9 de diciembre de 1994 —caso de los Santos Monasterios Griegos contra Grecia—, 4 de agosto de 2009 —caso Perdigao contra Portugal, 4 de noviembre de 2010, 9 de octubre de 2003 o 26 de abril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los efectos de valoraciones, realidades sustancialmente distintas como son el suelo clasificado como suelo no urbanizable alejado de la ciudad o de centros productivos, el clasificado de la misma forma pero situado en zona de crecimiento de la ciudad, el suelo clasificado como urbanizable programado que se expropia antes de que se haya iniciado la urbanización, e incluso el urbano que, por faltarle determinados servicio, no alcance la categoría valorativa de “suelo urbanizado” y siga en la de “suelo rural”. Y concluye que “la igualación de todas las anteriores situaciones bajo una misma categoría y su valoración mediante un sistema —el de capitalización de rentas agrarias del art. 23.1 a), con imposibilidad de inclusión de expectativas urbanísticas según el art. 23.2 y con una limitada valoración del suelo urbanizable pero aun no urbanizado en el art. 25— que no permite incluir todos los elementos de valor que concurren, resulta inconstitucional, según pasamos a desarrollar con un concreto examen del caso de autos”, lo que hace refiriéndose primero al art. 23 y luego al art.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23 del Real Decreto Legislativo 2/2008, el Auto parte de que en este caso “hay elementos suficientes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reconoce en el mismo proyecto de singular interés que motiva la expropiación; y que el propio proyecto de singular interés valoraba en 25 €/m2”.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y con un máximo del doble del valor de capitalización; lo que arroja un valor máximo, como vimos, de 2,3292 €/m2, lo que no llega ni al 10 por 100 del valor del suelo que el propio proyecto de singular interés declaraba. Esta es la prueba, a nuestro juicio, de que el sistema establecido por la Ley no es hábil para hallar el valor real del bien ni aun aproximadamente y que, por consiguiente, puede resultar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termina este epígrafe afirmando que “la Sala desea en cualquier caso dejar claro qué es lo que entiende por ‘valoración de expectativas urbanísticas’, a fin de aclarar que no está defendiendo que se deban valorar puras hipótesis, valores no reales o perjuicios meramente inciertos o futuros… Las expectativas urbanísticas se basan en circunstancias actuales (vgr. proximidad a zonas de expansión urbana, actividad inmobiliaria intensa en la zona, avances de planeamiento, etc.) que son proyectadas al futuro por el mercado (proyección que es la expectativa propiamente dicha) lo cual genera a su vez un incremento real y actual del valor; y esto último es lo que se valora. El precio de cualquier producto que se intercambie en el mercado (por ejemplo en los mercados secundarios de valores) puede cambiar exageradamente por determinadas circunstancias y cálculos de futuro más o menos fundados; ahora bien, ello no permite poner en duda que el precio que en un día determinado tenga un bien sea el que los compradores estén dispuestos a pagar y los vendedores obtengan al vender. La expectativa de futuro puede luego hacerse o no realidad, pero el incremento de valor en un momento dado es incontestablemente real”. Y añade que “la Administración debe pagar por un suelo lo que en la fecha a la que haya que valorar tuviera que pagar cualquiera que quisiera o necesitara adquirirlo; y si la regulación urbanística u otras circunstancias provocan incrementos del suelo llamativos, fundados en hipótesis de transformación y actividad urbanística sobre los suelos alentadas por la situación económica y la regulación urbanística vigente, eso no quita para entender que tal era el valor real del suelo en aquél momento y el que había que pagar ya fuera para comprarlo, ya fuera para expropiarlo. Otra cosa es que esas expectativas se hayan cumplido después, lo que no hace menos real el incremento de valor que provocaron en su momento, o que la actual coyuntura económica haga ver ahora con asombro los valores por los que llegaron a comprar o vender los suelos no hace tantos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epígrafe del Auto razona específicamente acerca del art. 25 del Real Decreto Legislativo 2/2008. Afirma que “los demandantes defienden que a la fecha en que hay que valorar el suelo debe considerarse que habían adquirido facultades urbanísticas sobre el mismo, bien a consecuencia de los planes que venían tramitándose, bien por el propio proyecto de singular interés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artículo 23 con el artículo 25, en los casos que previene este último precepto, depara un resultado satisfactorio para valorar el suelo, lo que pone de manifiesto la inadecuación de tales preceptos desde el punto de vista del art. 33.3 CE y el 14 CE”. Y sobre la constitucionalidad del régimen previsto en el artículo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incluye un epígrafe en el que la Sala se hace eco de la STC 141/2014 en los siguientes términos: “no vamos a negar el importante alcance que tiene la citada resolución … No obstante, entendemos que la citada Sentencia no agota el debate aquí planteado; la misma sentencia se encarga de recordarnos que su decisión es como respuesta a la concreta manera en que se ha planteado el recurso”. Recuerda, en concreto, que la STC 141/2014 dijo que “es pertinente recordar que esta conclusión no cierra en modo alguno el paso a ulteriores pretensiones de los particulares ante la jurisdicción ordinaria, si estimaran que la concreta aplicación de los criterios de valoración lesiona sus derechos. En consecuencia y por esta segunda vía, la duda de constitucionalidad que pudiera suscitar dicha aplicación puede ser sometida, siempre que se aporten los necesarios elementos de juicio, a este Tribunal, toda vez que el art. 38.2 de la Ley Orgánica del Tribunal Constitucional (LOTC) ‘permite la sucesión entre recurso desestimado y cuestión de inconstitucionalidad sobre igual objeto, esto es, frente al mismo precepto legal y con fundamento en la infracción de idéntico precepto constitucional’ (STC 319/1993, de 27 de octubre, FJ 2)”. Y concluye que “precisamente en el caso de autos concurren, a nuestro modo de ver, circunstancias específicas que nos llevan a afirmar que la aplicación de los criterios legales de valoración lesionan los derechos constitucionales de los afectados”. Y añade que “tampoco el Tribunal Constitucional se pronuncia sobre la constitucionalidad del artículo 25.1”.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diciembre de 2015, la Sección Segunda del Tribunal Constitucional acordó oír al Fiscal General del Estado para que, en el plazo de diez días, y a los efectos que determina el art. 37.1 LOTC, alegase lo que considerase conveniente “en relación con la pérdida sobrevenida de objeto de la cuestión de inconstitucionalidad respecto del art. 25.2 a) del Real Decreto Legislativo 2/2008 y de su carácter notoriamente infundado (por efecto de lo resuelto en la STC 218/2015, de 22 de octubre) respecto a los otros preceptos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29 de enero de 2016, en el que, tras exponer que la presente cuestión supera los juicios de aplicabilidad y de relevancia ex art. 35.2 LOTC, desarrolla dos alegaciones distintas, partiendo en gran medida de las SSTC 141/2014 y 218/2015, que a su juicio ya han resuelto las cuestiones que en este proceso se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lado, afirma que la presente cuestión de inconstitucionalidad debe ser resuelta siguiendo la dicción de los autos de 19 de enero de 2015, dictados en las cuestiones de inconstitucionalidad 6246, 7766, 7476, 7560, entre otros. Así, tal como se ha resuelto en los referidos autos, la declaración de inconstitucionalidad y nulidad del art. 25.2 a) del Real Decreto Legislativo 2/2008 por la STC 218/2015 supone la pérdida sobrevenida de objeto procesal en cuanto a este extremo, alegación que extiende al art. 23.1 a) del Real Decreto Legislativo 2/2008 en la medida que la STC 141/2014 declaró inconstitucional el inciso “hasta el máximo del doble”.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sostiene, con citas de la STC 218/2015 (por lo que hace al art. 33.3 CE) y de la STC 141/2014 (por lo que respecta al art. 14 CE), que los arts. 12, 23.2 y 25.1 del Real Decreto Legislativo 2/2008 no contradicen los arts. 14 y 33.3 CE, por lo que la cuestión suscitada es en este punto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el art. 23.1 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la Sala se hace eco de la STC 141/2014, de 11 de septiembre, haciendo hincapié en que en ella nada se ha resuelto sobre el art. 25 del Real Decreto Legislativo 2/2008 y, en consecuencia, sobre el sistema de valoración resultante de la conjunción de los arts. 23 y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alega sucesivamente (a) la pérdida sobrevenida del objeto de la cuestión en cuanto 25.2 a) del Real Decreto Legislativo 2/2008 porque así ha se ha pronunciado el Tribunal en un supuesto idéntico en los AATC de 19 de enero de 2015 (cuestiones núm. 6246-2014, 7766-2014, 7476-2014, 7560-2014…), criterio que extiende al art. 23.1 a) del Real Decreto Legislativo 2/2008 en la medida que la STC 141/2014 declaró inconstitucional y nulo el inciso “hasta el máximo del doble”; y (b) el carácter notoriamente infundado de la duda de constitucionalidad en relación a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esos preceptos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25.2 a) del Real Decreto Legislativo 2/2008 ha sido declarado inconstitucional y nulo por la STC 218/2015, de 22 de octubre. El art. 164 CE, y también el art. 38 LOTC, disponen que las Sentencias del Tribunal Constitucional que declaren la inconstitucionalidad de una ley tienen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procede acordar,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Dejando a un lado, en virtud de las razones expuestas, el art. 25.2 a) del Real Decreto Legislativo 2/2008, el objeto de este proceso sobre el que este Tribunal debe pronunciarse se ciñe a los arts. 12, 23.1 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la presente cuestión de inconstitucionalidad son sustancialmente iguales a las que connotaban la que fue resuelta por la STC 218/2015, de 22 de octubre. En ambas (a) la materia litigiosa es la valoración expropiatoria de parcelas en idéntica situación valorativa según el art. 12 del Real Decreto Legislativo 2/2008 que están afectadas por el “proyecto de singular interés Parque Industrial y Tecnológico de Illescas”, (b) los preceptos cuestionados son los arts. 23.1 a) y 2, 12 y 25 del Real Decreto Legislativo 2/2008 y (c)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con los que la STC 218/2015 desestimó la cuestión allí planteada, sean plenamente trasladables a ésta y, en consecuencia, determinen que esta cuestión de inconstitucionalidad,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marzo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