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6887-2014, promovido por Iberdrola, S.A., representada por el Procurador de los Tribunales don José Luis Martín Jaureguibeitia y asistida por los Abogados don Juan José Lavilla Rubira, doña María Luisa García Blanco y don Isaac Salama Salama, contra: i) la resolución de la Comisión Nacional de Energía, de 12 de enero de 2012, por la que se practicó la liquidación provisional núm. 11-2011 de las actividades reguladas del sistema eléctrico; ii) la Sentencia de la Sala de lo Contencioso-Administrativo de la Audiencia Nacional, de 19 de diciembre de 2012, por la que se desestimó el recurso contencioso-administrativo núm. 1-2012 interpuesto contra la citada resolución; iii) la Sentencia de la Sala de lo Contencioso-Administrativo del Tribunal Supremo (Sección Séptima), de 28 de marzo de 2014, que desestimó el recurso de casación núm. 292-2013 presentado contra la Sentencia de instancia; y iv) el Auto de la misma Sala, de 25 de septiembre de 2014, por el que se desestimó el incidente de nulidad de actuaciones promovido frente a la anterior. Han comparecido y formulado alegaciones el Abogado del Estado, el Ministerio Fiscal y la entidad Iberdrola, S.A.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noviembre de 2014, el Procurador de los Tribunales don José Luis Martín Jaureguibeitia, en nombre y representación de Iberdrola, S.A., interpuso un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Iberdrola, S.A., interpuso un recurso contencioso-administrativo por el procedimiento especial para la protección de los derechos fundamentales contra la resolución del Consejo de la Comisión Nacional de Energía que aprobó la liquidación provisional núm. 11 de las actividades reguladas del sector eléctrico del ejercicio 2011 (en lo sucesivo, liquidación 11-2011). En ella se establecía una obligación de abono de 108.958.368,27 € a cargo de Iberdrola, S.A., para la financiación del déficit de tarifa, conforme a lo previsto en la disposición adicional vigésima primera de la Ley 54/1997, de 27 de noviembre, del sector eléctrico (disposición adicional vigésima primera de la Ley del sector eléctrico: LSE, en lo que sigue). La demandante sostenía que, al imponer la carga de financiación del déficit exclusivamente a las cinco empresas del sector que señala la norma (entre ellas Iberdrola, S.A.), se lesiona el derecho a la igualdad ante la ley, reconocido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Tramitado dicho recurso ante la Sección Cuarta de la Sala de lo Contencioso-Administrativo de la Audiencia Nacional con el núm. 1-2012, fue desestimado por la Sentencia de 19 de diciembre de 2012, que declaró la resolución impugnada ajustada a Derecho, al entender que existe una justificación objetiva y razonable para exigir a las empresas incluidas en la disposición adicional vigésima primera LSE la financiación del déficit de tarifa, como es el hecho de ser las operadoras principales del sector, motivo que les había hecho acreedoras en su día del derecho a percibir los costes de transición 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referida Sentencia la sociedad mercantil demandante interpuso un recurso de casación (núm. 292-2013), aduciendo la vulneración del art. 14 CE y de los principios de imprescriptibilidad, irrenunciabilidad, indisponibilidad y permanencia de los derechos fundamentales y, en concreto,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28 de marzo de 2014 la Sección Séptima de la Sala de lo Contencioso-Administrativo del Tribunal Supremo desestimó el recurso de casación, recordando que mediante dos Sentencias del Pleno de 18 de noviembre de 2013 (recursos de casación 843-2013 y 848-2013) ya había desestimado dos recursos semejantes interpuestos por otras compañías eléctricas afectadas también por la disposición adicional vigésima primera LSE (la Sentencia que resuelve el recurso de casación núm. 848-2013 es a su vez objeto del recurso de amparo núm. 354-2014, promovido por “Endesa, S.A.”, cuyo contenido coincide sustancialmente con el presente recurso núm. 6887-2014). Por tanto, se remite a lo razonado en tales Sentencias, insistiendo especialmente en que la recurrente fue perceptora de los costes de transición a la competencia y que, desde un enfoque global del sector eléctrico, esto la singulariza respecto de las demás empresas del sector y, con mayor motivo, respecto de los demás sectores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Sentencia desestimatoria fue interpuesto un incidente de nulidad de actuaciones por la posible vulneración del art. 24.1 CE por incurrir, según la recurrente, en error patente e incongruencia omisiva. El incidente fue desestimado por Auto de 25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dos motivos: i) la vulneración del derecho de la sociedad demandante a la igualdad de trato sin discriminación (art. 14 CE), que achaca a la liquidación 11-2011; y ii) la infracción del art. 24.1 CE en que incurre, a su juicio, la Sentencia del Tribunal Supremo que la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argumentación con la primera infracción, que habría ocasionado la Administración al dictar la liquidación impugnada, en aplicación de la disposición adicional vigésima primera LSE, de tal manera que la vulneración sería resultado de la inconstitucionalidad de dicha norma legal. Considera Iberdrola, S.A., que el precepto indicado incurre en una desigualdad de trato sin fundamento entre categorías de personas equiparables desde el punto de vista de la finalidad de la norma. En este sentido, invoca como términos de comparación válidos que demostrarían la discriminación: i) en primer término, otras empresas de tamaño similar a las llamadas a financiar el déficit tarifario (cita a las empresas del IBEX 35), que compiten con ellas en un mercado financiero cada vez más restrictivo; ii) en segundo lugar, las empresas de otros sectores energéticos distintos al eléctrico (cita, entre otras, a Repsol, S.A.), dada la intercambiabilidad de la electricidad con otras modalidades de energía; y iii) por último, otras empresas del sector eléctrico, mencionando a Red Eléctrica de España, S.A., dedicada al transporte, y las demás empresas generadoras distintas de las cinco obligadas.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totalmente injustificada la selección de las cinco entidades obligadas por la disposición adicional vigésima primera LSE centrándose en contrarrestar la conexión que traza la Sentencia impugnada con la percepción de los costes de transición a la competencia, que considera una justificación ex post. Tras recordar que estos derechos se suprimieron en 2006, alega que no hay vínculo alguno entre ellos y el déficit tarifario. A esto añade que no hay identidad entre las empresas perceptoras de los costes de transición a la competencia y las incluidas en la disposición adicional vigésima primera, aclarando que aquellas se definían de forma abstracta, prueba de lo cual es que la transmisión de la titularidad de las instalaciones a las que se asociaban las compensaciones llevaba aparejada la del propio derecho a su percepción. En concreto, niega que las operaciones societarias llevadas a cabo en el sector puedan explicar la diferencia entre las empresas beneficiarias de los costes de transición a la competencia y las incluidas en la norma controvertida; al igual que tampoco cabe sostener que los porcentajes de la disposición adicional vigésima primera LSE coincidan con los de los costes de transición a la competencia, puesto que Iberdrola, S.A., tenía derecho a cobrar por tales derechos un 27,10 por 100 y, en cambio, se le impone una obligación de financiación del 35,01 por 100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S.A., tampoco considera razón suficiente para la desigualdad ninguno de los otros factores aducidos por la Sentencia impugnada, por remisión a la Sentencia del Pleno del Tribunal Supremo de 18 de noviembre de 2013, puesto que ni las obligadas son causantes del déficit, cuyo origen está en la decisión política de no incrementar la tarifa en la medida necesaria; ni la condición de operador dominante cualifica a Iberdrola, S.A., como obligada a sufragar el déficit de tarifa; ni el dato de operar de forma integrada debe servir para fundamentar la diferenciación. Por último, la supuesta solvencia y capacidad para asumir la obligación impuesta tampoco puede justificar la discriminación, pues, por ejemplo, E.On España, S.L., está obligada a financiar un 1 por 100 del déficit, frente a Iberdrola, S.A., cuyo porcentaje es del 35,01 por 100, lo que conllevaría admitir que la solvencia financiera de esta es 35 veces mayor que la de aquella, lo que evidentemente no es 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requisito de proporcionalidad de la diferencia, insiste en que el porcentaje del 35,01 por 100 que se le exige no coincide con el de percepción de los costes de transición a la competencia, ni se conoce su origen. Esto se agrava si se repara en que, al imponerse a la matriz del grupo, se está cargando también sobre sus filiales y activos en el extranjero, en perjuicio de su credibilidad en los mercados internacionales, y con evidente desproporción respecto de la finalidad de la medida, que debe ceñirse al ámbito nacional. La desproporción se pone además de manifiesto con solo observar que la Ley 24/2013, de 26 de diciembre, del sector eléctrico sustituye la relación nominal de las obligadas por una fórmula abstracta que incluye a todos los sujetos del sistema de liquidación, lo que supone un reconocimiento de la desproporción del sistema previsto en la disposición adicional vigésima primera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infracción del art. 14 CE, la recurrente aborda, por último, la perspectiva del Derecho de la Unión Europea, señalando que la obligación impuesta tiene naturaleza de obligación de servicio público y debería por ello recibir el mismo tratamiento que el dispensado al llamado “bono social” por la Sentencia del Tribunal Supremo de 7 de febrero de 2012, con base, a su vez, en la doctrina del Tribunal de Justicia de la Unión Europea (asunto Federutility).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del art. 24.1 CE, la recurrente considera que la Sentencia impugnada ha incurrido en un error patente al afirmar que la Audiencia Nacional aceptó la argumentación de la Administración acerca del origen de los porcentajes de financiación del déficit, cuando la Sentencia de instancia consideró que esta era una cuestión de legalidad ordinaria, ajena al procedimiento especial de protección de los derechos fundamentales; yerra, asimismo, el Tribunal Supremo al afirmar que la recurrente justificaba la irrazonabilidad del porcentaje atribuido a Iberdrola, S.A., en la financiación del déficit de tarifa en que otros sectores empresariales deben participar en esa financiación obligatoria, pues no era ese el fundamento de la irrazonabilidad, sino la falta de correlación con su cuota de mercado o su participación en los costes de transición a la competencia. Agrega la recurrente que, si bien en el caso de Endesa, S.A., el porcentaje de los costes de transición a la competencia y de cobertura del déficit es muy similar (44,84 por 100 frente a 44,16 por 100, respectivamente), no sucede así en su caso, por lo que si la Sentencia del Pleno de 18 de noviembre de 2013 avaló la vinculación entre ambas medidas en el caso de dicha compañía, por el mismo motivo debe considerar irrazonable el porcentaje atribuido a Iberdrola, S.A. Por último, también incurre en error patente la Sentencia impugnada al aseverar que las cinco empresas obligadas por la disposición adicional vigésima primera LSE representan la “práctica totalidad del sector eléctrico”, puesto que casi la mitad del mercado de generación y toda la actividad de transporte quedan fuera de la obligación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el caso de que se entendiera que no se ha incurrido en error patente, se alega que la Sentencia impugnada no supera el test reforzado de razonabilidad, ni realiza una valoración razonable de la prueba practicada, pues esta desmiente la conclusión de que las empresas financiadoras constituyeran la práctica totalidad del sector eléctrico y acredita, además, los perjuicios irrogados a la recurrente, a pesar de lo cual el Tribunal Supremo afirma, irrazonablemente, que al cumplir con la disposición adicional vigésima primera LSE las empresas financiadoras “actúan en su propio provecho”. En relación con la parte del sector excluida, se habría incurrido en incongruencia omisiva, ya que no se ha dado respuesta a una alegación sustancial de “Iberdrola, S.A.” como era la relativa a que un 41,02 por 100 del sector de generación de energía eléctrica había quedado eximida de la obligación de financiar el déficit de tarifa.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demanda justificando la especial trascendencia constitucional del recurso con apoyo en tres supuestos de los identificados en la STC 155/2009, FJ 2: i) plantea un problema o una faceta de un derecho fundamental susceptible de amparo sobre el que no hay doctrina del Tribunal Constitucional, cual es la figura de los “empréstitos forzosos”; ii) la vulneración del derecho fundamental que se denuncia proviene de la ley, en particular, de la disposición adicional vigésima primera LSE y iii) el asunto suscitado trasciende del caso concreto porque plantea una cuestión jurídica de relevante y general repercusión social o económica, a la vista de la importancia cuantitativa del déficit de tarifa.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que se dicte Sentencia estimatoria, reconociendo el derecho fundamental violado y restableciendo en él a la actora, previa elevación de la cuestión al Pleno, con base en lo dispuesto en el art. 55.2 de la Ley Orgánica del Tribunal Constitucional (LOTC), si procede.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abril de 2015 la Sala Segunda de este Tribunal acordó la admisión a trámite del recurso de amparo, como consecuencia de que la posible vulneración pudiera provenir de la ley o de otra disposición de carácter general [STC 155/2009, FJ 2 c)], por lo que, a tenor de lo dispuesto en el art. 51 LOTC, ordenó requerir atentamente a la Sección Séptima de la Sala de lo Contencioso-Administrativo del Tribunal Supremo y a la Sección Cuarta de la Sala de lo Contencioso-Administrativo de la Audiencia Nacional para que en el plazo de diez días remitieran, respectivamente, certificación o copia adverada de las actuaciones correspondientes al recurso de casación núm. 292-2013 y al recurso contencioso-administrativo núm. 1-2012, tramitado por el procedimiento especial para la protección de los derechos fundamentales, interesándose al propio tiempo el emplazamiento de quienes hubieran sido parte en ese procedimiento, excepto la parte recurrente en amparo, para que en el plazo de diez días pudieran comparecer, si lo deseaban,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Sección Cuarta de la Sala Segunda de 8 de junio de 2015 se tuvo por personado y parte al Abogado del Estado y a los Procuradores doña Pilar Irribarren Cavalle, en nombre y representación de Gas Natural SDG, S.A., y a don Carlos Mairata Laviña, en nombre y representación de Hidroeléctrica del Cantábrico, S.A. Asimismo, se tuvieron por recibidos los testimonios de las actuaciones remitidos por los correspondientes órganos judiciales y se procedió, conforme a lo establecido en el art. 52.1 LOTC, a dar vista de las mismas por plazo común de veinte días a las partes y al Ministerio Fiscal, para que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dio cumplimiento al trámite de alegaciones conferido mediante escrito registrado en este Tribunal el 6 de julio de 2015, por el que solicita que se desestime el recurso de amparo, por las razones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Administración del Estado comienza señalando que el recurso ha perdido su objeto puesto que ya a la fecha de presentarse la entidad había recuperado el importe anticipado, junto con los intereses correspondientes. En segundo lugar, niega que se haya producido la vulneración del art. 24.1 CE, que la demanda fundamenta en referencias aisladas a la Sentencia del Tribunal Supremo, y no al conjunto de su razonamiento, como viene exigiendo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entra a valorar los términos de comparación ofrecidos por la recurrente, como elemento esencial para apreciar la vulneración del principio de igualdad, no sin antes recordar que la Administración ha negado la existencia de tales términos, tanto en el proceso ante la Audiencia Nacional como en la casación ante el Tribunal Supremo. En este sentido, considera que la apelación al resto de empresas de otros sectores económicos es una alegación genérica, que la doctrina constitucional no acepta como válida; en cuanto a las empresas eléctricas que operan en el llamado régimen especial, alega que con su invocación la demandante está realmente criticando la opción legislativa sobre la financiación del déficit, pero sin recoger un término de comparación, a lo que añade que, desde 2010, la carga de reestructuración del sector eléctrico ha recaído de manera intensa en las empresas sujetas a régimen especial; de igual modo, considera genérica la referencia al resto de empresas del sector eléctrico, pero sin concretar una situación singular equiparable a la de la demandante, que cobró los costes de transición a la competencia y es actor principal del sistema eléctrico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a falta de un término válido de comparación, el juicio de igualdad se ha de llevar a cabo desde la perspectiva de la interdicción de la arbitrariedad. Y en este punto recuerda que nos encontramos ante una norma con rango legal, que goza de presunción de constitucionalidad, de acuerdo con la doctrina constitucional que cita. En este sentido, la medida enjuiciada debe enmarcarse en un entorno de grave crisis económica que obligó a dictar numerosos reales decretos-leyes para hacer frente al creciente déficit tarifario.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argumentar la justificación objetiva y razonable de la medida controvertida, se remite a la posición mantenida por la Abogacía del Estado ante la Audiencia Nacional y el Tribunal Supremo, que ha sido acogida por ambos tribunales, por lo que no cabe sino insistir en el razonamiento de la Sentencia del Pleno de la Sala de lo Contencioso-Administrativo del Tribunal Supremo de 18 de noviembre de 2013, y en los rasgos de Iberdrola, S.A., y de las otras cuatro obligadas que la Sentencia identifica como distintivos, debiendo recordar, como hace la Sala, que “aunque el legislador hubiera podido optar por otra forma de afrontarlo”, la decisión política sobre la financiación del déficit de tarifa plasmada en la disposición adicional vigésima primera LSE descansa en unos hechos indubitados y es, por ello,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invocación del derecho comunitario y a la calificación de la obligación impuesta como una obligación de servicio público a los efectos del art. 3.2. de la Directiva 2009/72/CE, recuerda que el Tribunal Constitucional ha declarado reiteradamente que las cuestiones de aplicación del Derecho comunitario corresponden a los Tribunales ordinarios, entrando solo a valorar esta aplicación desde la perspectiva del art. 24.1 CE, cuando el razonamiento hubiera incurrido en arbitrariedad o irracionalidad (cita, en este sentido, la STC 145/2012).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Iberdrola, S.A., presentó su escrito de alegaciones en este Tribunal el 8 de julio de 2015, manifestando que se ratificaba en las alegaciones formuladas en su escrito de demanda, de las que hacía una recapitulación.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el 28 de julio de 2015 su escrito de alegaciones en el que, tras reproducir el tenor literal de la disposición adicional vigésima primera LSE y recordar la doctrina constitucional sobre el principio de igualdad, se centra en los términos de comparación invocados por la recurrente en amparo, a saber: i) las demás empresas que operan en el sector eléctrico; y ii) las empresas que actúan en otros sectores económicos distintos del eléctrico. Comienza rechazando de plano el segundo de los términos propuestos, pues no es posible aceptar que empresas cuya actividad es ajena a este sector puedan considerarse iguales u homogéneas a la recurrente. En cuanto a las restantes empresas eléctricas, la Fiscal arguye que la demanda no acredita la identidad de situación con Iberdrola, S.A., siendo así que, por ejemplo y por lo que concierne a las productoras eléctricas de régimen especial, estas ya han sido objeto de otras medidas legales encaminadas a superar el déficit estructural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Fiscal pone de manifiesto, con cita de la STC 49/2008, que no es exigible al legislador que incorpore a la norma la explicación de los motivos tenidos en cuenta para su aprobación, siempre que estos se puedan identificar. Y examina, a renglón seguido, la justificación de la medida, encuadrándola previamente en el contexto de la regulación del mercado eléctrico y, en particular, del reconocimiento de los costes de transición a la competencia. Así, enfatiza la conexión directa que existió en un primer momento entre la percepción de estos derechos y la obligación de cubrir el déficit, conexión que quedó implícita en la regulación posterior, materializada en la disposición adicional vigésima primera LSE. Añade que las diferencias entre el listado original de obligados y porcentajes y los recogidos en la disposición adicional vigésima primera LSE en aplicación de la que se dicta la liquidación 11-2011 se explican por las operaciones societarias llevadas a cabo entre las empresas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el Ministerio público trae a colación las razones aducidas por la Administración para explicar la imposición de la carga controvertida, y que el Tribunal Supremo hace suyas. Descarta, en primer lugar, que sean factores elaborados ex novo, sino que derivan de datos reales y objetivos, que resultan de la propia sucesión de las normas reguladoras del sector eléctrico, particularmente las referidas a la percepción de los costes de transición a la competencia. La condición de beneficiaria de estas compensaciones sirve como justificación objetiva, aun habiéndose suprimido este régimen, debido a las retribuciones adicionales obtenidas por la recurrente y el resto de empresas relacionadas en la disposición adicional vigésima primera LSE. Y, al igual que en el régimen de los costes de transición a la competencia, la obligación de financiación se impone a las sociedades matrices de cada grupo empresarial, lo que refuerza la conexión entre ambas normativas, pues fueron estas las perceptoras de dichas compensaciones. Insiste en que este factor de singularización y el resto de los indicados deben valorarse en su conjunto, y no de forma aislada, como pretende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proporcionalidad de la medida, el Ministerio Fiscal destaca que no se trata de una obligación de pago definitivo, sino de un empréstito forzoso, con derecho a reembolso y al abono de un interés de mercado, pudiéndose además movilizar el préstamo mediante su titulización. No niega la Fiscal que el legislador pudiera haber optado por un sistema de financiación distinto e igualmente razonable, pero la decisión adoptada se enmarca en el margen de configuración que le corresponde. Y, en cuanto a la proporcionalidad de los porcentajes, aduce que la demandante no identifica el término de comparación respecto del que existiría una discriminación, debiendo reiterarse que las posibles diferencias entre los aplicados a los costes de transición a la competencia y los previstos en la disposición adicional vigésima primera LSE se deben a los procesos de reestructuración empresarial llevados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sus consideraciones sobre el art. 14 CE refiriéndose a la invocación del Derecho de la Unión Europea, recordando que no puede considerarse un canon autónomo de constitucionalidad, para negar a continuación que nos hallemos ante una obligación de servicio público en el sentido de la Directiva 2009/72/CE, sino ante una prestación patrimonial pública no tributaria de las previstas en el art. 31.3 CE, por lo que no cabe invocar la Sentencia del Tribunal Supremo de 7 de febrero de 2012 referida al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Fiscal aborda la posible lesión del art. 24.1 CE, negando que la Sentencia del Tribunal Supremo incurra en errores patentes en el sentido que la doctrina constitucional reserva para este término; ni que sea irracional en su razonamiento, supuesto vicio que realmente pone de manifiesto la falta de acuerdo con la fundamentación jurídica de la Sentencia; ni, en fin, que pueda calificarse como incongruencia omisiva lo que no es sino una desestimación tácita del argumento relativo al peso que tienen las empresas generadoras de régimen especial en el mercado de producción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concluye interesando que, sin acceder a la solicitud de Iberdrola, S.A., de que se eleve la decisión al Pleno, ni de que se plantee una cuestión prejudicial ante el Tribunal de Justicia de la Unión Europea, se dicte sentencia por la que se desestime el recurso de amparo interpuesto por la citada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febrero de 2016 la Sala Segunda de este Tribunal acordó conceder a las partes personadas y al Ministerio Fiscal un plazo común de diez días, con arreglo a lo dispuesto en el art. 84 LOTC, para alegar lo que estimaran pertinente sobre la eventual pérdida de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mediante escrito de 26 de febrero de 2016, el Abogado del Estado manifestó que procedía declarar la pérdida de objeto del recurso, al haberse satisfecho la cantidad exigida a la recurrente, tal y como se acreditaba con la documentación que había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Iberdrola, S.A., se manifestó en contra de la pérdida de objeto, por medio de un escrito registrado el 1 de marzo de 2016, en el que argumentaba que, si bien había recuperado las cantidades anticipadas al sistema eléctrico, no se había producido la reparación de los derechos vulnerados ni la satisfacción de los perjuicios soportados como consecuencia del préstamo forzoso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pronunció también en contra de que se declarase la pérdida sobrevenida del objeto del recurso por cuanto este no era solo la concreta liquidación impugnada sino la obligación de financiar el déficit de tarifa, por lo que iba más allá de la mera pretensión de que restituyesen los fondos anticipados.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la Sala Segunda de 11 de mayo de 2016 se acordó estimar justificada la causa de abstención formulada por el Magistrado Ponente don Ricardo Enríquez Sancho, apartándole definitivamente del conocimiento del presente recurso y de todas sus incidencias, siendo designado nuevo Ponente el Magistrado don Antonio Narváez Rodríguez mediante Acuerdo de la Presidenta de la Sala Segunda de 1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medio de Auto de la Sala Segunda de 18 de julio de 2016 se declaró que la efectiva recuperación de las cantidades anticipadas al sistema eléctrico no permitía concluir que el recurso de amparo hubiera perdido su objeto, puesto que lo solicitado por la recurrente era que se declarase inconstitucional la obligación que se le impuso; a lo que se añadía que la entidad recurrente había alegado que, como consecuencia del préstamo forzoso que le fue exigido, había experimentado una serie de perjuicios, cuya indemnización pretendía reclamar. Por todo lo cual, se acordó que el recurso no había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noviembre de 2016,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del Consejo de la Comisión Nacional de Energía que aprobó la liquidación 11-2011, de las actividades reguladas del sector eléctrico del ejercicio 2011, así como las resoluciones judiciales que la han confirmado, han vulnerado el derecho de Iberdrola, S.A., al principio de igualdad (art. 14 CE), en la medida en que la sociedad ha sido designada de forma nominativa para cubrir en un determinado porcentaje el denominado “déficit de tarifa”, sin que resulte justificado que se le imponga esta carga a ella y no a otras empresas que se encuentran, a su juicio, en una situación comparable.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posible infracción del art. 14 CE, que se atribuye al citado acto administrativo, la demandante considera también quebrantado el art. 24.1 CE, lesión esta que achaca a la Sentencia del Tribunal Supremo, que desestima el recurso de casación, por lo que nos encontramos ante un recurso de amparo mixto correspondiente tanto a la previsión del art. 43 como a la del art. 44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Abogacía del Estado como el Ministerio Fiscal interesan la desestimación del amparo, puesto que la norma con base en la cual se dicta la resolución administrativa se justifica en la situación singular de la demandante: empresa dominante, que cobró costes de transición a la competencia y es actor principal del sector eléctrico nacional, lo que constituye una justificación objetiva y razonable a efectos del art. 14 CE. Asimismo, ambos descartan que se hayan producido las infracciones del art. 24.1 CE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el art. 50.1 b) LOTC y, por consiguiente, de orden público procesal (entre otras, STC 113/2012, de 24 de mayo, FJ 2, y las allí citadas), exigencias de certeza y buena administración de justicia (STEDH de 20 de enero de 2015, asunto Arribas Antón c. España, § 46) obligan a explicitar el cumplimiento del mismo para hacer así reconoscibles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varias razones por las que el recurso revestiría la especial trascendencia constitucional exigible, entre ellas, la de que la vulneración denunciada proviene de la ley, que es uno de los supuestos específicamente contemplados en el fundamento jurídico 2 letra c), de nuestra STC 155/2009, de 25 de junio (que “la vulneración del derecho fundamental que se denuncia provenga de la ley o de otra disposición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una cuestión no controvertida que la liquidación impugnada se ha dictado en estricto cumplimiento de lo previsto en la disposición adicional vigésima primera de la Ley 54/1997, de 27 de noviembre, del sector eléctrico, por lo que la vulneración del art. 14 CE en que hubiera podido incurrir el acto administrativo derivaría directa y necesariamente de la citada norma legal, que es, cabalmente, el supuesto a que se refiere la STC 155/2009, FJ 2 c). Por consiguiente, el recurso reviste, efectivamente,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nos encontremos ante un recurso de amparo mixto “determina que analicemos en primer término las eventuales vulneraciones que serían imputables a la actuación administrativa para efectuar con posterioridad, en su caso, el enjuiciamiento de las lesiones constitucionales imputadas a la resolución judicial” (STC 195/2005, de 18 de julio, FJ 2). En aplicación de este criterio, constante en la doctrina de este Tribunal (por todas, STC 118/2012, de 4 de junio, FJ 3), hemos de comenzar nuestro estudio por la infracción constitucional del art. 14 CE imputada a la Administración, lo que nos remite, según hemos adelantado, al análisis de la disposición adicional vigésima primera LSE desde el prisma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recurso, debemos comenzar recordando que la disposición adicional vigésima primera LSE, bajo el encabezamiento “suficiencia de los peajes de acceso y desajustes de ingresos de las actividades reguladas del sector eléctrico”, establece un método para financiar los posibles desajustes en las liquidaciones de las actividades reguladas, lo que comúnmente se viene conociendo como “déficit de tarifa”, entendido en sentido amplio como la diferencia entre los costes del sistema eléctrico y los ingresos obtenidos a partir de los precios regulados por el Estado. Pues bien, en la redacción aplicable ratione temporis (dada por el Real Decreto-ley 6/2010, de 9 de abril), la citada norma dispone en su apartado 2 (referido a la cobertura de los desajustes hasta 1 de enero de 2013, que es lo relevante, puesto que se analiza una liquidación correspondiente a 2011), en lo que aquí estrictamente interesa,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por la aparición de desajustes temporales, el fondo acumulado en la cuenta específica a que se refiere el Real Decreto 2017/1997, de 26 de diciembre, abierta en régimen de depósito arrojara un saldo negativo, éste será liquidado por la Comisión Nacional de Energía en las liquidaciones mensuales aplicando los siguientes porcentajes de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....................EMPRESA................................PORCENTAJE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..........Iberdrola S.A. ………….................... 35,01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..........Hidroeléctrica del Cantábrico, S.A....... 6,08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..........Endesa S.A. ………….......................  44,16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..........EON España, S.L. …............................  1,00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..........GAS Natural S.D.G, S.A..................... 13,75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porcentajes de reparto podrán ser modificados por real decreto, cuando se produzcan desinversiones significativas que afecten a las empresas en la actividad de distribución, cuando se produzcan cambios estructurales sustanciales en la actividad de generación que así lo justifiquen o como consecuencia de inversiones o desinversiones significativas en activos de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tendrán derecho a recuperar las aportaciones por este concepto en las 14 liquidaciones correspondientes al periodo en que se modifiquen las tarifas de acceso para el reconocimiento de dicho desajuste temporal. Las cantidades aportadas por este concepto serán devueltas reconociéndose un tipo de interés en condiciones equivalentes a las del mercado que se fijará en la orden por la que se aprueban los peajes.”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partes coinciden en calificar la obligación impuesta a las cinco entidades relacionadas como una “prestación patrimonial de carácter público” que hemos caracterizado como aquellas impuestas coactivamente, esto es, derivadas de una obligación de pago establecida unilateralmente por el poder público “sin el concurso de la voluntad del sujeto llamado a satisfacerla”, siempre que, al mismo tiempo, “la prestación, con independencia de la condición pública o privada de quien la percibe, tenga una inequívoca finalidad de interés público” (SSTC 185/1995, de 14 de diciembre, FJ 3; 182/1997, de 28 de octubre, FJ 15; 233/1999, de 16 de diciembre, FJ 33; 83/2014, de 29 de mayo, FJ 3, y 167/2016, de 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prestación impuesta consiste en un préstamo forzoso, en virtud del cual las mencionadas compañías deben efectuar un desembolso, que se cuantifica aplicando los porcentajes de reparto establecidos al saldo negativo de la cuenta de liquidación de los costes e ingresos regulados del sistema, teniendo “derecho a recuperar las aportaciones por este concepto … (que) serán devueltas reconociéndose un tipo de interés en condiciones equivalentes a las del mercado que se fijará en la orden por la que se aprueban los peajes”, tal y como disponen el apartado 2, último párrafo, y el apartado 5 de la disposición adicional vigésima primera LSE. El apartado 5, párrafo primero, de la citada norma añade que “[l]os déficit del sistema de liquidaciones eléctrico generarán derechos de cobro consistentes en el derecho a percibir un importe de la facturación mensual por peajes de acceso de los años sucesivos hasta su satisfacción” y que tales derechos de cobro “se podrán ceder a un fondo de titulización que se constituirá a estos efectos y se denominará Fondo de Titulización del Déficit del Sistema Eléctrico”. De hecho, en el incidente abierto sobre la posible pérdida sobrevenida del objeto de este proceso el Abogado del Estado acreditó que los derechos de cobro de la liquidación 11-2011 habían sido cedidos al citado fondo, por lo que la entidad recurrente ya había recuperado su importe.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nuestra reciente STC 167/2016, de 6 de octubre, mediante la que se ha resuelto la cuestión de inconstitucionalidad núm. 6599-2013, referida a la disposición adicional tercera del Real Decreto-ley 14/2010, de 23 de diciembre, por el que se establecen medidas urgentes para la corrección del déficit tarifario del sector eléctrico, hemos analizado la obligación impuesta a once compañías generadoras de electricidad de asumir, en un determinado porcentaje, el coste de los planes de ahorro y eficiencia energética de los años 2011, 2012 y 2013. Dicha norma es similar a la que aquí resulta controvertida, tanto por su naturaleza (una prestación patrimonial de carácter público no tributaria), como por sus destinatarios (un número determinado de empresas del sector eléctrico), su carácter temporal y el contexto normativo en que se enmarca (la adopción de medidas para afrontar el déficit de la tarifa eléctrica), diferenciándose tan solo por el contenido de la prestación, pues la prevista en el Real Decreto-ley 14/2010 es una contribución definitiva, mientras que la disposición adicional vigésima primera LSE regula un préstamo al sistema eléctrico y, por consiguiente, con derecho de reembolso.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la obligación examinada en la STC 167/2016, la carga de anticipar unas cantidades para equilibrar el desajuste entre los costes e ingresos regulados debe situarse en el marco de la relación económica que los sujetos obligados mantienen con el Estado dentro de un sector necesaria e intensamente regulado como el eléctrico, status del que pueden surgir tanto derechos como cargas que asumir. A este equilibrio entre derechos y cargas también nos hemos referido al analizar otras actividades reguladas, como en la STC 83/2014, de 29 de mayo, en la que declaramos ajustada a la Constitución la deducción sobre la facturación mensual de las oficinas de farmacia introducida por el Real Decreto-ley 5/2000,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similitud entre la disposición adicional tercera del Real Decreto-ley 14/2010 y la disposición adicional vigésima primera LSE, interesa destacar que en la STC 167/2016 nuestro análisis se ha enfocado también desde el canon del art. 14 CE, por lo que, sin perder de vista la distinta naturaleza y efectos de cada proceso constitucional, las circunstancias aquí concurrentes hacen extensible, mutatis mutandis, el razonamiento contenido en dicha Sentencia al juicio de igualdad que debemos abordar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 anterior, procede recordar que el principio de igualdad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luego para que sea constitucionalmente lícita la diferencia de trato, las consecuencias jurídicas que se deriven de tal distinción deben ser proporcionadas a la finalidad perseguida, de suerte que se eviten resultados excesivamente gravosos o desmedidos (entre muchas otras, SSTC 22/1981, de 2 de julio, FJ 3; 255/2004, de 23 de diciembre, FJ 4; 10/2005, de 20 de enero, FJ 5; 295/2006, de 11 de octubre, FJ 5; 83/2014, de 29 de mayo, FJ 7, y 167/2016,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doctrina sobre el art. 14 CE recién sintetizada, y como quiera que lo propio del juicio de igualdad es su carácter relacional (por todas, STC 71/2016, de 14 de abril, FJ 3), para comprobar si la disposición adicional vigésima primera LSE observa dicho precepto, es preciso, en primer lugar, concretar si las situaciones que se pretenden comparar son iguales (juicio de comparabilidad); en segundo término, y una vez razonado que las situaciones son comparables, si concurre una finalidad objetiva y razonable que legitime el trato desigual de esas situaciones (juicio de razonabilidad, en clave de legitimidad y funcionalidad para el fin perseguido); y, por último, si las consecuencias jurídicas a que conduce la disparidad de trato son razonables, por existir una relación de proporcionalidad entre el medio empleado y la finalidad perseguida, evitando resultados especialmente gravosos o desmedidos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iter valorativo apuntado debe partir de la premisa, no discutida por las partes que han comparecido en este proceso, de que las cinco entidades incluidas en la norma que se juzga son —considerando las operaciones de concentración producidas y los subsiguientes cambios de denominación— los operadores tradicionales del mercado eléctrico español. Fueron estos operadores (entre ellos, la recurrente), que habían estado desarrollando su actividad bajo el denominado “marco legal estable”, los que, ante la necesidad de adaptar el ordenamiento español a la Directiva 96/92/CE, sobre normas comunes para el mercado interior de la electricidad, impulsaron a través de la “Asociación Española de la Industria Eléctrica”, junto con el Ministerio de Industria y Energía, el “protocolo para el establecimiento de una nueva regulación del sistema eléctrico nacional” suscrito el 11 de diciembre de 1996, y que precedió a la Ley del sector eléctrico de 27 de noviembre de 1997. Esta ley avanzó en la liberalización del sector para su adaptación al Derecho de la Unión Europea, proceso en el marco del cual se reconoció a tales operadores el derecho a percibir los costes de transición a la competencia, según el régimen incorporado a la disposición transitoria sexta de la ley. La exposición de motivos de la Ley del sector eléctrico (norma que estuvo en vigor, aun con múltiples modificaciones, hasta su sustitución por la Ley 24/2013, de 26 de diciembre) resalta la importancia del referido acuerdo y de sus firmantes, cuando afirma que “el citado Protocolo, carente de la eficacia normativa de toda norma general, supuso la concreción de un diseño complejo y global de transición de un sistema intervenido y burocratizado a un sistema más libre de funcionamiento del sector. Supuso, asimismo, el acuerdo con los principales agentes económicos de la industria sobre una profunda modificación del sistema retributivo hasta ahora vigente y sobre el escalonamiento progresivo de las distintas etapas conducentes a la liberalización del mercado. El Protocolo se configuró, en definitiva, para que, considerado en toda su extensión, fuese elemento inspirador de un profundo proceso de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obligación de financiar el déficit tarifario que se exige a las empresas mencionadas en la disposición adicional vigésima primera LSE entraña una diferencia de tratamiento frente a otros sujetos. Ahora bien, para valorar una posible transgresión del art. 14 CE es preciso dilucidar antes si tales sujetos constituyen un término válido de comparación respecto de las sociedades afectadas por la prestación. En este sentido, los términos de comparación propuestos por la demandante son: a) las empresas de tamaño similar que operan en otros sectores de actividad económica; b) las empresas de otros sectores energéticos distintos al eléctrico; y c) por último, las empresas del sector eléctrico que operan en otros subsectores, como el transporte, así como el resto de empresas generadoras aparte de las cinco obligadas.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comparación con las empresas de otros sectores económicos que pudieran tener un tamaño similar debe rechazarse a limine, toda vez que la disposición adicional vigésima primera LSE es una norma propia de la regulación del sector eléctrico que hace frente a un problema específico del mismo, como es el desajuste entre sus ingresos y gastos regulados. Tal y como hemos indicado en la STC 167/2016, FJ 3, “el margen de configuración del legislador debe comprender la posibilidad de disponer, con base en criterios técnicos, económicos y de oportunidad, qué costes se imputan al sistema eléctrico (en última instancia, a los consumidores, que deberán hacer frente a ellos, antes o después), a las empresas del sector o de un subsector en particular, y a los presupuestos generales del Estado, es decir, tomar la decisión política sobre la distribución del esfuerzo necesario para contener el déficit de tarifa”, conclusión que en tal pronunciamiento predicamos de las medidas para reducir el déficit, pero que es plenamente aplicable a la financiación del existente. No corresponde a este Tribunal valorar desde un punto de vista político o técnico el acierto de una determinada medida encaminada a reducir el déficit, como era la disposición adicional tercera del Real Decreto-ley 14/2010, o a financiar el ya producido, caso de la disposición adicional vigésima primera LSE, pero parece indiscutible que los operadores de otros sectores económicos no se hallan en una situación comparable a la de las empresas seleccionadas por la norma en cuestión, ya que estas actúan en un sector fuertemente intervenido como el eléctrico, con sujeción a un régimen definido de derechos y cargas, definido en la Ley del sector eléctrico y en la normativa de desarrollo, que no las sitúa en una posición asimilable, a los efectos que aquí importan, a la de otros ámbitos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Análogo razonamiento nos conduce a excluir como término homogéneo de comparación las empresas de otros sectores energéticos distintos al eléctrico. Aunque la importancia que revisten las distintas fuentes de energía para el aparato productivo del país y para la calidad de vida de los ciudadanos hacen necesaria su regulación en mayor o menor grado, las características propias de cada mercado energético aconsejan una legislación propia para cada uno, con un régimen económico adecuado a sus particularidades. Así, por ejemplo, la entidad Repsol, S.A., que la demandante cita de forma expresa, opera principalmente en un campo sujeto a la Ley 34/1998, de 7 de octubre, del sector de hidrocarburos, que no se puede considerar asimilable cuando se trata de arbitrar una solución para el déficit de la tarifa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cuanto a los dos primeros términos propuestos por la demandante, debemos coincidir con la afirmación del Ministerio Fiscal de que “además de tener distinta regulación jurídica, no es posible en ningún caso establecer respecto de ellos la vinculación objetiva con la finalidad de la norma que es financiar el déficit de la tarifa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Sugiere en tercer lugar Iberdrola, S.A., la comparación con otras empresas del sector eléctrico, ya sea la transportista (Red Eléctrica de España, S.A.), ya sean otras generadoras aparte de las cinco empresas financiadoras, aludiendo sobre todo a las titulares de instalaciones de régimen especial, que representan, según la recurrente, más del 40 por 100 del subsector de producción y que, pese a ello, han resultado excluidas de la carga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resto de empresas del sector eléctrico, como las dedicadas al transporte, debemos señalar, en primer lugar, que se trata de una actividad sometida a un régimen jurídico y económico diferente al de la producción, que constituye la principal actividad de los grupos a cuyas matrices se impone la prestación patrimonial de la disposición adicional vigésima primera LSE. Buena prueba de lo cual es que la Ley del sector eléctrico dedica un título independiente para ella (título VI “transporte de energía eléctrica”), atendiendo a sus características diferenciales y a la necesidad de mayor regulación, dada su condición de monopolio natural, frente a la producción, subsector para el que, en contraste, se impulsa un régimen de competencia que no es posible en aquél. Por tanto, el régimen retributivo de las actividades de producción y de transporte no es igual, lo que impide la comparación entre los sujetos de uno y otro subsector.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concerniente al subsector de la producción eléctrica, en especial las productoras de régimen especial, se debe partir de que en la Ley del sector eléctrico, aquí aplicable, el régimen ordinario de producción, a grandes rasgos, era el correspondiente a las instalaciones de generación que emplean tecnologías convencionales, es decir, el parque tradicional de producción eléctrica en España (que corresponde, en esencia, a las cinco empresas de la disposición adicional vigésima primera LSE), mientras que, de acuerdo con el art. 27.1 LSE, el régimen especial era fundamentalmente el aplicable a las instalaciones de producción con energías renovables, generación con residuos y cogeneración. En este sentido, tanto la Abogacía del Estado como el Ministerio Fiscal sostienen que tampoco en este caso nos hallamos ante un término válido de comparación, puesto que la producción de electricidad en régimen ordinario y en régimen especial tienen una diferente ordenación en la Ley del sector eléctrico (capítulos I y II, respectivamente, del título IV), de acuerdo con criterios de política económica y medioambiental, que justifican un sistema de retribución propio para cada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dicho razonamiento, toda vez que el distinto régimen económico legalmente establecido impide considerar que ambas formas de producción se encuentren en situaciones iguales en los términos del art. 14 CE, de modo que los derechos y cargas no tienen que ser necesariamente los mismos para ambas modalidades. Dos ejemplos ilustrativos de las diferencias económicas entre ellas son el reconocimiento a las principales empresas de régimen ordinario de los llamados “pagos por capacidad”, con base en el art. 16.1 c) LSE, así como de los costes de transición a la competencia, cuya percepción, como enseguida comprobaremos, singulariza definitivamente a las empresas obligadas en virtud de la disposición adicional vigésima primera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circunstancia de que los distintos agentes del sector con los que pretende compararse la recurrente operan bajo un régimen económico diferente al suyo, se suma el hecho de que una medida como la que estamos enjuiciando debe enmarcarse en el conjunto de disposiciones aprobadas para evitar que el déficit de tarifa pusiera en riesgo la sostenibilidad del sistema eléctrico. A las numerosas medidas adoptadas con tal finalidad hemos tenido ocasión de referirnos con cierto detalle en la ya citada STC 167/2016, FJ 3, llegando a la conclusión de que se “han dispuesto ajustes para todos los sujetos implicados en el sector eléctrico, tanto las empresas de los distintos subsectores que lo integran (productoras, transportistas, distribuidoras, comercializadoras, etc.), como para los consumidores y el conjunto de los contribuyentes”, todo ello de acuerdo con la idea de esfuerzo compartido —no necesariamente idéntico—, que se puede encontrar en las exposiciones de motivos de las normas aprobadas para reducir el déficit tarifario, como los Reales Decretos-leyes 14/2010, de 23 de diciembre, 20/2012, de 13 de julio, y 9/2013, de 12 de julio,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 través de la sucesión de normas aprobadas para controlar y financiar el déficit de tarifa se han arbitrado medidas que han afectado a otros subsectores del sistema, minorando sus retribuciones (por ejemplo, para el caso del transporte, por los Reales Decretos-leyes 20/2012 y 9/2013; y para las instalaciones de generación en régimen especial, mediante los Reales Decretos-leyes 14/2010 e, igualmente, 9/2013); así como a los consumidores, con aumentos de tarifa, y al conjunto de los contribuyentes, imputando ciertas partidas de costes a los presupuestos generales del Estado o creando tributos específicos sobre el sector (Ley 15/2012,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que la aplicación de una concreta medida, como la que aquí se examina, tan solo a los grupos eléctricos dedicados principalmente a la producción de electricidad en régimen ordinario, y no a las empresas dedicadas a otras actividades eléctricas o a las productoras que utilizan de forma primordial energías renovables y otras propias del régimen especial, no introduce una diferencia entre situaciones que puedan calificarse iguales, al menos por dos razones: i) el diferente régimen jurídico y económico aplicable a cada actividad, lo que conlleva distintos derechos y cargas, siguiendo la terminología de la STC 83/2014, de 29 de mayo, FJ 3 y ii) el necesario enfoque de esta norma en el contexto de las adoptadas para contener el déficit de tarifa eléctrica, de suerte que a cada tipo de actividad se le han exigido ajustes, siendo legítimo que el legislador tenga en cuenta la diferente contribución de cada subsector para imponer solo a ciertos grupos la financiación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y por las razones expuestas, no hay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por último, enjuiciar la posible infracción del art. 24.1 CE que se denuncia por la actora, según la cual la Sentencia de la Sala de lo Contencioso-Administrativo del Tribunal Supremo de 28 de marzo de 2014 habría incurrido en error patente, irracionabilidad e incongruencia omisiva. El Abogado del Estado, por el contrario, niega que estos vicios puedan predicarse de fundamentos aislados de una resolución judicial, como pretende la recurrente, debiendo considerarse la Sentencia de forma global, mientras que la Fiscal arguye que la denuncia no hace sino encubrir el desacuerdo con los razonamientos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declarado reiteradamente que el derecho fundamental a la tutela judicial efectiva (art. 24.1 CE)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irrazonable, incursa en un error patente o en una evidente contradicción entre los fundamentos jurídicos, o entre éstos y el fallo, ya que, en tal caso, la aplicación de la legalidad sería tan sólo una mera apariencia (SSTC 147/1999, de 4 de agosto, FJ 3; 25/2000, de 31 de enero, FJ 2; 87/2000, de 27 de marzo, FJ 3; 82/2001, de 26 de marzo, FJ 2; 221/2001, de 31 de octubre, FJ 6; 55/2003, de 24 de marzo, FJ 6; 223/2005, de 12 de septiembre, FJ 3, y 276/2006, de 25 de septiembre,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imputación de que la Sentencia impugnada incurre en errores patentes, conviene recordar que no toda inexactitud o equivocación del juzgador tiene relevancia constitucional, sino que es necesario que concurran en él ciertas características (por todas, STC 112/2008, de 29 de septiembre, FJ 3) que, como señala el Ministerio Fiscal, a todas luces no se dan aquí. Es claro que los errores invocados en la demanda no se refieren al sustrato fáctico del asunto enjuiciado, como exige la doctrina constitucional, sino a la forma en que el Tribunal Supremo ha interpretado determinados razonamientos de la Sentencia de instancia (en concreto, sobre si el porcentaje de cobertura del déficit asignado a “Iberdrola, S.A.” se ha considerado una cuestión de prueba o no); o de la propia recurrente en casación (acerca de si la invocación como término de comparación de otros ámbitos empresariales es lo que fundamenta la desproporción del porcentaje de financiación). Por tanto, no nos enfrentamos a un error “de hecho” ni, desde luego, este sería “determinante de la decisión adoptada, de forma que constituya el soporte único o fundamental de la resolución, su ratio decidendi, de tal suerte que, comprobada su existencia, la fundamentación jurídica pierde el sentido y alcance que la justificaba” (STC 161/2007,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conclusión desestimatoria debemos alcanzar sobre la denuncia de irracionabilidad basada en que la Sentencia desestimatoria del recurso de casación no habría respetado el canon reforzado exigible cuando están en juego derechos fundamentales (por todas, STC 138/2014, de 8 de septiembre, FJ 3). La falta de razonabilidad se conecta con los errores en que, a juicio de la demandante, habría incurrido el Tribunal Supremo. Así, se aduce que la Sentencia hace una valoración irrazonable de la prueba cuando concluye que las empresas financiadoras constituyen la práctica totalidad del sector eléctrico, lo que, a juicio de la actora, no es así. Pero a esto se ha de oponer, de un lado, que la irracionabilidad de la resolución debe valorarse en su conjunto, como recuerda el Abogado del Estado; y, de otro, que, según venimos reiterando, la Sentencia de 28 de marzo de 2014, concluye que la disposición adicional vigésima primera LSE singulariza a las obligadas por haber percibido los costes de transición a la competencia, de tal forma que el peso que tengan en el sector eléctrico (extremo que admite varias interpretaciones, según se trate del sector en su conjunto, o de los distintos subsectores que lo integran, así como el momento temporal que se tome en cuenta) no ha sido el principal elemento determinante del fallo. En modo alguno cabe tildar de irrazonable la Sentencia impugnada, ya que sus fundamentos jurídicos 7 y 8 expresan con absoluta claridad, remitiéndose en parte a las Sentencias del Pleno de 18 de noviembre de 2013, por qué motivos la disposición adicional vigésima primera LSE no quebranta el art. 14 CE, sin que la discrepancia con ellos pueda servir para sustentar una denuncia de irracionabilidad.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 supuesta incongruencia omisiva, por no haber dado respuesta a la alegación de que no está justificado que la obligación se imponga solo a cinco grupos que son fundamentalmente titulares de instalaciones de generación en régimen ordinario, dejando fuera al 41,2 por 100 del subsector de producción que aplica el régimen especial, conviene recordar que la satisfacción del derecho a la tutela judicial efectiva no exige una contestación explícita y pormenorizada a todas y cada una de las alegaciones que se aducen por las partes como fundamento de su pretensión [por todas, STC 178/2014, de 3 de noviembre, FJ 6 b)].Y, como hemos reseñado, el peso que actualmente tenga el grupo de las empresas obligadas no ha sido el criterio de singularización determinante de la norma, por lo que la falta de mención expresa a este aspecto no implica infracción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debe incardinarse en el ámbito del art. 24.1 CE la referencia que hace Iberdrola, S.A., al Derecho de la Unión Europea, en especial al principio de igualdad de la Directiva 2009/72/CE, sobre normas comunes para el mercado interior de la electricidad, aspecto sobre el que este Tribunal ha reiterado que ni el fenómeno de la integración europea, ni el art. 93 CE a través del que ésta se instrumenta, ni el principio de primacía del Derecho de la Unión que rige las relaciones entre ambos ordenamientos, han dotado a las normas del Derecho de la Unión Europea, originario o derivado, “de rango y fuerza constitucionales” [por todas, STC 215/2014, de 18 de diciembre, FJ 3 a), con cita de otras]. Pues bien, en el presente caso, los tribunales de la jurisdicción ordinaria, en ejercicio de su competencia, han estimado razonadamente que la disposición adicional vigésima primera LSE no es una obligación de servicio público a la que resulte aplicable la Directiva 2009/72/CE, sin que esta conclusión entrañe lesión alguna del art. 24.1 CE, que solo existiría en la hipótesis de que se hubiera desconocido el Derecho de la Unión tal y como ha sido interpretado por el Tribunal de Justicia de la Unión Europea, dando lugar a una “selección irrazonable y arbitraria de una norma aplicable al proceso”, conforme se recoge en las SSTC 145/2012, de 2 de julio, FFJJ 5 y 6, y 232/2015, de 5 de noviembre, FFJJ 4 y 5, lo que no ha tenido lugar en el presente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núm. 6887-2014 interpuesto por Iberdrola,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