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dictada el 11 de julio de 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8 de abril de 2017, doña María Victoria Sánchez Cano interpuso recurso de amparo contra el Auto de la Sala de lo Social del Tribunal Supremo, de 1 de febrero de 2017, que inadmitió el recurso de casación para la unificación de doctrina articulado contra la Sentencia de la Sala de lo Social del Tribunal Superior de Justicia de la Comunidad Valencia, de 3 de noviembre de 2015, desestimatoria del recurso de suplicación núm. 2519-2015 frente a la Sentencia del Juzgado de lo Social núm. 2 de Alicante de 30 de diciembre de 2014, dictada en autos de despido núm. 641-2013.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demandante aduce la vulneración de los artículos 24.1 y 2 CE, en relación con los artículos 14, 35 y 37.1 CE, por no concretarse en la carta de despido las causas que provocaron la resolución contractual, y por la motivación e interpretación de la ley contenida en las resoluciones judiciales, que ocasionan a la trabajadora un impedimento para desplegar su derecho de defensa con la debida contradicción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11 de julio de 2017, la Sección Cuarta del Tribunal Constitucional acordó inadmitir a trámite el recurso de amparo, con arreglo a lo previsto en el artículo 50.1 a) de la Ley Orgánica del Tribunal Constitucional, en relación con su artículo 44.1 a), porque la recurrente “no ha agotado debidamente los medios de impugnación dentro de la vía judicial (no interposición del incidente de nulidad de actuaciones previsto en el artículo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interpuso el 7 de septiembre de 2017 recurso de súplica frente a la providencia de inadmisión. Señala su escrito que el objeto del proceso constitucional reside en una eventual lesión del derecho de defensa que fue alegado en las diversas instancias judiciales, desde la inicial demanda de despido hasta el grado jurisdiccional de casación, de suerte que no procedería inadmitir el recurso con base en la causa puesta de manifiesto en la providencia que se recurre, menos cuando en otros recursos planteados en los mismos términos que el presente se concluyó el proceso con una resolución de inadmisión fundada en otras causas (señaladamente, recurso de amparo 1881-2017).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11 de septiembre de 2017, se acordó dar traslado a la demandante de amparo por el plazo de tres días para que alegara lo que estimara pertinente. Evacuando el trámite mediante escrito registrado el día 17 de septiembre de 2017, se adhirió a lo alegado por el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el Ministerio Fiscal recurre en súplica la providencia dictada por esta misma Sección el día 11 de julio de 2017, por la que se acordó inadmitir a trámite el recurso de amparo al no haberse interpuesto el debido incidente de nulidad de actuaciones. A su parecer, las pretensiones articuladas en la demanda de amparo fueron sustanciadas y resueltas en el proceso, por lo que no era necesario la reiteración de esas quejas a través de aquel remedio procesal del artículo 241.1 de la Ley Orgánica del Poder Judicial, como condición de agotamiento de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que nuestra función constitucional pueda ser ejercida es preciso que estén agotadas las vías judiciales. Ello es así porque el aseguramiento del carácter subsidiario del recurso de amparo exige que no quede abierto el procedimiento constitucional en tanto no se hayan agotado los recursos utilizados en la vía ordinaria (entre tantos otros, recientemente, ATC 54/2017, de 20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de este Tribunal, inaugurada en la STC 39/2003, de 27 de febrero, y recogida o aplicada más tarde en otros pronunciamiento (por ejemplo, SSTC 265/2006, de 11 de septiembre, FJ 6, o 169/2013, de 7 de octubre, FJ 3), que en casos semejantes al ahora enjuiciado, antes de impetrar el amparo constitucional, tras la inadmisión por la Sala Cuarta del Tribunal Supremo del recurso de casación para la unificación de doctrina, es necesario interponer un incidente de nulidad de actuaciones ante el órgano judicial de suplicación al que se imputa la lesión.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sucede en el presente caso, toda vez que, si bien es cierto que estuvo siempre presente en el proceso el debate sobre los contenidos de la carta de despido a los fines de la sucesiva defensa en vía judicial, también lo es que la recurrente formula quejas añadidas y autónomas, que no considera causadas por el acto inicial de despido sino en sede judicial, señalando que el recurso en el grado jurisdiccional de suplicación planteaba aspectos nuevos respecto de los suscitados en la demanda y trascendía con ello la imputación de la lesión inicialmente dirigida al acto extintivo entre privados. Dice así, en concreto, que en el grado jurisdiccional de suplicación planteó una “nueva perspectiva”, distinta a la de la demanda rectora del proceso; una nueva lesión nacida del hecho de que “la indefensión se hubiera producido en sede judicial y fuera atribuible a un órgano judicial”. Y a su juicio, pese a las pretensiones articuladas, la Sentencia de 3 de noviembre de 2015, dictada por la Sala de lo Social del Tribunal Superior de Justicia, ignoró la indefensión padecida, la permitió e impidió el principio contradictorio, ofreciendo una motivación de su decisión (que transcribe parcialmente en su escrito del recurso) basada en una lectura de la norma aplicable que reduce el control judicial a ciertas vulneraciones groseras de la Ley o de la Constitución y que desatiende, además, los derechos fundamentales a la igualdad, a la negociación colectiva y al trabajo que subyacían en la concreta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Bajo esas circunstancias, como ha quedado dicho, en atención a la doctrina de la STC 39/2003, antes de impetrar el amparo constitucional, tras la inadmisión por la Sala Cuarta del Tribunal Supremo del recurso de casación para la unificación de doctrina, era necesario interponer un incidente de nulidad de actuaciones ante el Tribunal Superior de Justicia de la Comunidad Valenciana, garantizando con ello la subsidiariedad del amparo respecto a la indefensión que por esa Sentencia se dice causada, ya que, de haberse obtenido un pronunciamiento favorable por ese cauce de reparación, la lesión que se dice causada en su derecho de defensa podría haber resultado paliada.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dictada el 11 de julio de 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