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3849-2017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cautelarmente la entrega de la finca adjudicada en el procedimiento de ejecución hipotecaria núm. 1241-2014 seguido en el Juzgado de Primera Instancia núm. 4 de Fuengirola.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julio de 2017 tuvo entrada en el registro general de este Tribunal escrito firmado por el Procurador de los Tribunales don José Ramón Navas Rodríguez, en nombre y representación de doña María del Valle Gallardo Merinas y don José María Montaño Hidalgo, en virtud del cual interponía recurso de amparo contra el Auto del Juzgado de Primera Instancia núm. 4 de Fuengirola de fecha 21 de junio de 2017, que desestimó el incidente de nulidad de actuaciones promovido por los recurrentes respecto del procedimiento ejecución hipotecaria núm. 1241-2014 instado en su contra por la entidad Caixa Bank,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demanda, los actores tuvieron conocimiento de la existencia del procedimiento de ejecución hipotecaria dirigido contra ellos en virtud de la notificación, en fecha 17 de febrero de 2017, de diligencia de ordenación en que se señalaba el lanzamiento de su vivienda para el día 31 de mayo de ese mismo año. En esta situación, se personaron en las actuaciones formulando recurso de reposición y solicitando la nulidad de actuaciones. Por decreto de fecha 18 de abril de 2017 se desestimó dicho recurso sin entrar en la cuestión de fondo planteada, relativa a la corrección del emplazamiento de los demandados mediante edictos. Promovido por los actores incidente de nulidad de actuaciones, el Auto de 21 de junio de 2017 lo desestimó al considerar que dicho incidente se había interpuesto fuera del plazo legalmente establecido. Razona lo que sigue: “la parte recurre en reposición una diligencia de ordenación ante la Sra. Letrada de la Administración de justicia la cual carece manifiestamente de competencia para declarar la nulidad de resoluciones del juzgado. Desestimando además acertadamente el recurso de reposición puesto que lo en él acordado en nada afecta a la cuestión de fondo suscitada, la parte deduce entonces de forma extemporánea el incidente con motivo de su primera personación, momento en el que era obvio que no cabía recurso ordinario alguno para remediar la situación que planteaba”.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se quejan en su recurso de la vulneración de su derecho a la tutela judicial efectiva sin indefensión (art. 24.1 CE) por un doble motivo: (i) en cuanto la actuación del órgano judicial en lo relativo a la comunicación del procedimiento existente en su contra, por medio de edictos tras un primer intento fallido de emplazamiento personal y con incumplimiento de la doctrina de este Tribunal Constitucional, les ha impedido conocer su existencia y, en consecuencia, defenderse; (ii) en cuanto que denunciado oportunamente en el proceso el defecto anterior determinante de la nulidad, el decreto del letrado de la Administración de Justicia, primero, y el Auto directamente impugnado, después, adoptan una posición rigorista y formalista en contra de la efectividad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núm. 1241-2014, “para evitar mayores perjuicios, pues mientras no se entregue la posesión, la enajenación del inmueble no estará consumada y la reversión del procedimiento será menos onerosa”.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5 de febrero de 2018 la Sección Primera de este Tribunal acordó admitir a trámite el recurso de amparo y dirigir comunicación al Juzgado de Primera Instancia núm. 4 de Fuengirola, a fin de que, en el plazo de diez días,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artículo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9 de febrero de 2018, el Procurador de los Tribunales don José Ramón Navas Rodríguez, en nombre y representación de doña María del Valle Gallardo Merinas y don José María Montaño Hidalgo, formuló sus alegaciones, afirmando, en síntesis, que de no acordarse la suspensión se producirían mayores perjuicios, pues mientras no se entregue la posesión, la enajenación del inmueble no estará consumada, la reversión del procedimiento será menos onerosa y la eventual sentencia concediendo el amparo sería eficaz. De otra parte, aduce, la suspensión no ocasionará perturbación grave a un interés constitucionalmente protegido, ni a los derechos fundamentales o libertades de otra persona, ni perjuicio de terceros en cuanto persiste la garantía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20 de febrero de 2018, interesa que se otorgue la suspensión solicitada o alternativamente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está justificada, pues si se consumase la trasmisión de la vivienda al ejecutante o al cesionario de su derecho, posteriores trasmisiones a título oneroso a terceras personas colocarían al bien en situación de difícil recuperación, pues lo convertirían en prácticamente irreivindicable. Agrega que si se hubiese producido el lanzamiento, la suspensión solicitada no evitaría los perjuicios a que se hacía referencia, de modo que, en tal caso, resultaría más eficaz la anotación preventiva de la demanda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1241-2014 seguido en del Juzgado de Primera Instancia núm. 4 de Fuengirola.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artículo 117.3 CE (AATC 220/2008, de 14 de julio; 393/2008, de 22 de diciembre; 12/2009, de 26 de enero, y 1/2010, de 11 de enero,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regla general es la improcedencia de la suspensión de las resoluciones judiciales, por la perturbación de la función jurisdiccional que la misma supone, salvo en los casos en los que se acredite tanto el carácter irreparable del perjuicio para los derechos fundamentales, como la pérdida de la finalidad del amparo en caso de mantenerse la ejecución de la resolución (por todos, AATC 40/2008, de 11 de febrero; 59/2008, de 20 de febrero; 2/2009, de 12 de enero, y 12/2009, de 26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hemos accedido a la suspensión en aquellos supuestos en los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anulación del Auto de fecha 21 de junio de 2017 que desestimó el incidente de nulidad de actuaciones que plantearon los demandantes, así como la de todos los actos procesales desde el emplazamiento. En función de ello, la suspensión interesada trasciende de la resolución formalmente impugnada, que era el Auto desestimatorio del incidente de nulidad de actuaciones y la medida que la parte actora pretende es la retroacción de actuaciones y una nueva tramitación del proceso de ejecución hipotecaria desde su inicio.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actuaciones, recabadas del Juzgado de Primera Instancia núm. 4 de Fuengirola, se desprende que el bien inmueble hipotecado fue adjudicado a la mercantil Buildingcenter, S.A.U., en virtud de cesión del remate por la entidad acreedora Caixa Bank, S.A. Consta igualmente que, firme el Decreto de adjudicación, la entidad adjudicataria, personada en el procedimiento, tiene solicitada la entrega de la posesión del inmueble, para lo cual se ha dispuesto el lanzamiento de los ocupantes, así como que se han señalado diversas fechas para llevar a efecto dicho lanzamiento, sin que conste que, por el momento, se haya producido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lo anterior, 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análisis de dicha doctrina, y las circunstancias del caso permiten concluir reconociendo la procedencia de adoptar la medida cautelar solicitada de suspensión ya que, en otro caso, se podría materializar la entrega de la posesión del bien en perjuicio de los recurrentes,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no se percibe en este momento procesal que la suspensión de la ejecución pueda entrañar una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debe acordarse la medida cautelar de anotación preventiva de la demanda de amparo en el Registro de la Propiedad de acuerdo con lo alegado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artículo 56 LOTC, puede adoptar de oficio o a instancia de parte, con fundamento en el artículo 42.1 de la Ley hipotecaria (AATC 274/2002, de 18 de diciembre, 257/2003, de 14 de julio, 230/2007, de 7 de mayo, FJ 3; 415/2007, de 5 de noviembre, FJ 4, y 28/2009, de 26 de enero, FJ 2),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anotación preventiva de la demanda, que tiene por objeto garantizar el derecho de los demandantes de amparo frente a eventuales actos de disposición, mediante el anuncio registral frente a terceros de la pendencia del proceso constitucional con sus eventuales consecuencias sobre los derechos inscritos, ha sido considerada por este Tribunal como medida idónea en los supuestos en que se ya ha producido la adjudicación del inmueble, (AATC 282/2014, de 17 de noviembre, FJ 5; 59/2015, de 16 de marzo, FJ 3, y 106/2017, de 17 de julio, FJ 3), como ocurre también en el caso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entiende que las circunstancias que presenta el supuesto sometido a consideración determinan la procedencia de acordar dicha medida cautelar, si bien no de modo alternativo respecto de la suspensión sino junto ella, tal y como, ante situaciones similares, acordamos en los citados AATC 282/2014, de 17 de noviembre, y 59/2015, de 16 de marzo. El mantenimiento de la posesión del inmueble por los aquí demandantes aconseja adelantar la barrera de la tutela cautelar hasta el momento anterior al desalojo de dicha vivienda, atendiendo a lo solicitado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razonamientos anteriores, de conformidad con la doctrina expuesta, y sin prejuzgar la decisión de fondo del recurso, conducen a acordar la suspensión solicitada, que ha de entenderse referida concretamente a la entrega de la posesión de la finca adjudicada,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cautelarmente la entrega de la finca adjudicada en el procedimiento de ejecución hipotecaria núm. 1241-2014 seguido en el Juzgado de Primera Instancia núm. 4 de Fuengirola.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