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178</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3507-2019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3507-2019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48-2017, seguido en el Juzgado de Primera Instancia núm. 4 de Murcia.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5 de junio de 2019, la entidad Grupo Inversiones Nicolás Serrano, S.L., representada por la procuradora de los tribunales doña Águeda María Meseguer Guillén y bajo la dirección de la letrada doña Carmen García Hernández, interpuso recurso de amparo contra el auto de 14 de mayo de 2019 del Juzgado de Primera Instancia núm. 4 de Murcia, dictado en el procedimiento de ejecución hipotecaria núm. 48-2017, por el que se desestimó el recurso de revisión y subsidiario de nulidad de actuaciones interpuesto contra el decreto de 19 de noviembre de 2018 que adjudicaba la finca de la recurrente núm. 41.482 del Registro de la Propiedad núm.1 de Murcia a favor del Banco de Sabadell, 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Ante el Juzgado de Primera Instancia núm. 4 de Murcia se tramita, a instancias de Banco Sabadell, S.A., frente a la sociedad recurrente en amparo y otra, un proceso de ejecución de títulos no judiciales (escritura pública de préstamo con garantía hipotecaria otorgada el 22 de marzo de 2007, novada el 10 de junio de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entidad ejecutante interesaba en su demanda de ejecución del bien hipotecado que, por no haber realizado el requerimiento de pago con carácter previo, este fuera acordado y practicado en el domicilio designado en la escritura pública, a saber: Avda. Alto Atalayas núm. 254 de Cabezo de Torres.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Tras los correspondientes trámites, el auto de 15 de marzo de 2017 ordenó la ejecución del título de escritura de préstamo hipotecario, acordando requerir a las ejecutadas al pago. El requerimiento y notificación del proceso fueron practicados a través de la dirección electrónica habilitada —sede judicial electrónica— en mayo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por decreto de 19 de noviembre de 2018, fue adjudicada la finca objeto de ejecución a favor de la ejecutante por el 50 por 100 del valor de tasación.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sociedad recurrente en amparo, en enero de 2019, interpuso recurso de revisión contra el decreto de adjudicación, denunciando la infracción del art. 16.2 del Real Decreto 1065/2015, de 27 de noviembre, y del art. 155.1 de la Ley de enjuiciamiento civil (LEC) por ausencia de un primer emplazamiento personal en el domicilio social, ya que dicha regulación normativa, a su juicio, obligaba al órgano judicial a efectuarlo de ese modo y no por medios electrónicos, razón por la cual se le habría causado indefensión al desconocer el proceso de ejecución en su debido tiempo.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recurso de revisión fue desestimado por auto de 14 de mayo de 2019. La resolución judicial, en su fundamento jurídico 3, disponía: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“Partiendo de esta doctrina y examinadas las actuaciones ha de indicarse que no se observa causa de nulidad alguna en las actuaciones, ni puede fundarse la misma en el hecho de que la recurrente no tuviera conocimiento del emplazamiento realizado en fecha 24 de mayo de 2017 y ello porque del examen de las actuaciones resulta acreditado, que la mercantil ejecutada fue correctamente emplazada mediante sede electrónica, habiendo sido enviada cédula de requerimiento, auto, auto ejecución hipotecaria, decreto despachando ejecución, demanda y todos los documentos acompañados a la misma en fecha 24 de mayo de 2017, siendo recepcionada en destino el 26 de mayo de 2017 y retirada por la mercantil Grupo Inversiones Nicolás Serrano, S.L. en fecha 30 de mayo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consiguiente, habiendo quedado demostrado que las resoluciones en virtud de las cuales fue emplazada por primera vez la mercantil ejecutada fueron debidamente notificadas a través de la sede judicial electrónica, de conformidad con lo prevenido en los arts. 152.2, 161.1, 273.3 LEC, arts. 4 y 11 del Real Decreto 1065/15 de 27 de noviembre, sobre comunicaciones electrónicas en la administración de justicia en el ámbito territorial del Ministerio de Justicia y por el que se regula el sistema Lexnet y articulo 230 de la Ley Orgánica del Poder Judicial, no resulta procedente estimar el recurso de revisión ni declarar la nulidad de actuaciones con carácter subsidiario pretendida, en cuanto que no se han producido infracciones de normas esenciales del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contenía la indicación de que contra el mismo no cabía recurso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se queja en su recurso de la vulneración del derecho a la tutela judicial efectiva sin indefensión (art. 24.1 CE) en su vertiente de acceso al proceso, denunciando el modo de efectuar la primera citación o emplazamiento del demandado en el proceso de ejecución, todo ello en relación con lo dispuesto en los arts. 16.2, 16.3 y 21.2 a) del Real Decreto 1065/2015, de 27 de noviembre, el art. 155.1 LEC y en la doctrina que recoge la STC 47/2019, de 8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otrosí la suspensión del procedimiento de ejecución hipotecaria, “evitando la entrega de la posesión del inmueble”, pues esta podría hacer perder al recurso de amparo su finalidad, causando perjuicios de muy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28 de octubre de 2019, la Sección Cuarta de este Tribunal acordó admitir a trámite el recurso de amparo. Por providencia de la misma fecha, la Sección acordó formar la oportuna pieza para la tramitación del incidente de suspensión y, conforme a lo dispuesto en el art. 56 de la Ley Orgánica del Tribunal Constitucional,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el 5 de noviembre de 2019, la parte demandante formuló sus alegaciones, señalando que la ejecución se encuentra muy avanzada y reiterando lo dicho en el otrosí de su demanda sobre la necesidad de evitar la entrega de la posesión del inmueble al banco ejecutante, para evitar daños y perjuicios de imposible o muy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registrado el 8 de noviembre de 2019, se opuso a la pretendida suspensión del procedimiento de ejecución hipotecaria, ya que la petición no aparece fundamentada por la recurrente, que se limita, a su parecer, a formular la petición sin explicitar ninguna razón, salvo la mera pérdida de la finalidad del recurso si aquel procedimiento culminase. Interesa alternativamente, por ello, que se acuerde la anotación preventiva de la demanda de amparo en el registro de la propiedad, pues de ese modo se asegura el fiel reflejo de la realidad, evitando situaciones cuya reversibilidad deviniera poco menos que imposible.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suspensión cautelar instada por la parte recurrente en amparo y dirigida frente al procedimiento de ejecución hipotecaria núm. 48-2017, seguido en el Juzgado de Primera Instancia núm. 4 de Murcia.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Por esta razón, la pretensión cautelar analizada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(por todos, ATC 130/2019, de 28 de octubre, y los en él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a la que se ha hecho mención permite concluir, de acuerdo con lo solicitado por el Ministerio Fiscal, que resulta improcedente la suspensión solicitada del procedimiento de ejecución hipotecaria y que, por el contrario, constituye una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la parte recurrente se limita a poner de manifiesto, genéricamente, que la eventual adjudicación a terceros del bien inmueble puede hacer perder al recurso de amparo su finalidad, sin añadir indicación alguna sobre la situación y circunstancias de la entidad mercantil recurrente así como sobre las características, destino y estado posesorio del inmueble hipotecado. En tales circunstancias no es posible afirmar que la continuación del curso del procedimiento judicial, incluso si se produjera un desplazamiento posesorio, provoque por sí sola un perjuicio determinante de la perdida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como se anticipó, se reputa medida suficiente e idónea para evitar el perjuicio derivado de que la adquisición del bien por tercero lo haga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106/2017, de 17 de julio, 88/2018, de 17 de septiembre, 2/2019, de 9 de enero, o 130/2019, de 28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el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48-2017, seguido en el Juzgado de Primera Instancia núm. 4 de Murcia.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diciembre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