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5429-2019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5429-2019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294-2018,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24 de septiembre de 2019, la entidad Penrei Inversiones, S.L., representada por la procuradora de los tribunales doña Blanca Berriatua Horta y bajo la dirección de la letrada doña Anju Nirmala Benavent Rodríguez, interpuso recurso de amparo contra los autos de 21 de septiembre de 2018 y de 12 de julio de 2019, dictados por el Juzgado de Primera Instancia e Instrucción núm. 5 de Lorca, en el procedimiento de ejecución hipotecaria núm. 294-2018, por los que, respectivamente, se inadmite por extemporánea la demanda de oposición formulada a la ejecución hipotecaria y se confirma aquella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Juzgado de Primera Instancia e Instrucción núm. 5 de Lorca se sigue procedimiento de ejecución hipotecaria núm. 294-2018 promovido por la entidad Banco de Sabadell, S.A., frente a las sociedades Euroinversiones Inmobiliarias Costa Sur, S.L., en calidad de prestataria e hipotecante, y Penrei Inversiones, S.L., en calidad de titular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Admitida a trámite la demanda y despachada la ejecución, el día 22 de mayo de 2018 se notificó y requirió a ambas ejecutadas a través de la sede judicial electrónica, que en fecha 20 de julio de 2018 presentaron oposición a la ejecución hipotecaria aduciendo que la comunicación recibida el día 22 de mayo no constituía, a su juicio, una notificación o requerimiento en legal forma sino solo un aviso de la puesta a disposición de una notificación electrónica que puede descargarse en un plazo determinado. El auto de 21 de septiembre de 2018 inadmitió la oposición a la ejecución, siendo confirmado en reposición por el auto de 12 de julio de 2019, que dispuso que, al ser indiscutible la condición de personas jurídicas de las recurrentes, “las mismas desde el 1 de enero de 2017 [disposición transitoria cuarta de la Ley 42/2015, de 5 de octubre, de reforma de la Ley de enjuiciamiento civil (LEC)] están obligadas a relacionarse con la administración de justicia por medios electrónicos [art. 14.2 a) de la Ley 39/2015 del procedimiento administrativo común de las administraciones públicas (LPACAP) y art. 273.3 a) de la LEC]”. Y resultando que la notificación “se puso a disposición de las recurrentes en fecha 22 de mayo de 2018 no accediendo al contenido hasta el día 07 de julio de 2018 (fuera de los tres días que establece la normativa procesal), presentando los escritos de oposición a la ejecución en fecha 20 de julio de 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se trae,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con cita de la STC 47/2019, de 8 de abril, se queja en su recurso de amparo de la vulneración del art. 24.1 y 2 CE, al no haberle sido notificado con las debidas garantías, sin causar indefensión, el primer acto de comunicación procesal o emplazamiento con ocasión de la demanda de ejecución hipotecaria, otorgándose efecto a la remisión de un correo electrónico que carecería, a su parecer, de los requisitos esenciales para considerarlo un acto de notificación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que con la interpretación ofrecida en las resoluciones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 tal y como reconoce la sentencia 37/1984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junio de 2020, la Sección Cuarta de este tribunal acordó admitir a trámite el recurso de amparo y dirigir comunicación al Juzgado de Primera Instancia e Instrucción núm. 5 de Lorca, a fin de que, en plazo que no excediera de diez días, emplazase a quienes hubieran sido parte en el proceso del que trae causa el presente recurso de amparo, excepto a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9 de julio de 2020, la parte demandante formuló sus alegaciones, reiterando lo expuesto en el otrosí de su demanda y trascribiendo como fundamento de su pretensión lo expresado en parte en el ATC 21/2018, de 5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15 de julio de 2020, el Ministerio Fiscal se opuso a la pretendida suspensión del procedimiento de ejecución hipotecaria, e interesó que, alternativamente, se acordase la anotación preventiva de la demanda de amparo en el registro de la propiedad. Tras exponer la doctrina de este tribunal sobre suspensión de resoluciones y actos impugnados, aduce que en el presente caso la petición del demandante no se funda en ninguna razón que permita afirmar que la continuación del procedimiento judicial, incluso con desplazamiento posesorio, provoque un perjuicio determinante de la perdida de la finalidad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procedimiento de ejecución hipotecaria núm. 294-2018,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177/2019, de 16 de diciembre, FJ 2, o, en fecha más próxima, ATC 27/2020, de 24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[entre otros, AATC 190/2015, de 5 de noviembre, FJ 2 a); 59/2017, FJ 1; 147/2017, de 13 de noviembre, FJ 1, y 177/2019, FJ 2, o, recientemente, ATC 38/2020, de 9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(como los más recientes AATC 56/2013, de 13 de febrero, FJ 2; 74/2013, de 8 de abril, FJ 2; 152/2013, de 8 de julio, FJ 2; 282/2014, de 17 de noviembre, FJ 4; 59/2015, de 16 de marzo, FJ 2; 177/2019, FJ 2, o 30/2020, de 24 de febrero,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procesos de amparo precedentes,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si se produjera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294-2018,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