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3057-2019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3057-2019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45-2018 seguido en el Juzgado de Primera Instancia e Instrucción núm. 6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entidad mercantil Euroinversiones Inmobiliarias Costa Sur, S.L., solicita la suspensión del proceso de ejecución hipotecaria núm. 45-2018 tramitado por el Juzgado de Primera Instancia e Instrucción núm. 6 de Lorca. Lo hace por otrosí en el escrito de 16 de mayo de 2019 por el que interpone recurso de amparo contra los autos de 21 de marzo de 2019 y 18 de diciembre de 2018 recaídos en aquel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sobre la medida cautelar solicitada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el Juzgado de Primera Instancia e Instrucción núm. 6 de Lorca se tramita, a instancia de Banco de Sabadell, S.A., frente a las sociedades Euroinversiones Inmobiliarias Costa Sur, S.L., y Penrei Inversiones, S.L., el proceso de ejecución hipotecaria núm. 45-2018.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Despachada ejecución por auto de 23 de mayo de 2018, las sociedades demandadas fueron requeridas y notificadas a través de la sede judicial electrónica el día 25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sociedad ejecutada Euroinversiones Inmobiliarias Costa Sur, S.L., se personó en las actuaciones el 28 de agosto de 2018 para poner de manifiesto que, con fecha 10 de julio de 2018, recibió una comunicación del servicio de notificaciones electrónicas en la que le participaban la existencia de una notificación pendiente de entrega y que, al acceder a su contenido, constata que no todos los archivos que se dicen enviados han sido recepcionados. Expone en su escrito que la comunicación practicada carece de validez al no constar enviados todos los documentos que se citan, en particular el auto que acordada el despacho de ejecución y, con amparo en el art. 166 de la Ley de enjuiciamiento civil (LEC), solicita la nulidad del acto de comunicación.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petición de nulidad fue tramitada y resuelta por auto de13 de diciembre de 2018 en sentido desestimatorio. En el fundamento jurídico único se expresa que “[E]n el caso que nos ocupa, es cierto que el auto por el que se despachaba ejecución no se incluyó entre la documentación que se remitió a la mercantil ejecutada a través de la sede electrónica, y que reconoce recibida el día 25 de mayo de 2018, esto es, la demanda de ejecución y los documentos que la acompañaban, así como el decreto despachando ejecución, donde se incluía igualmente la mención a las cantidades reclamadas y por las que se debía realizar el requerimiento de pago y la propia cédula de requerimiento de pago. Ahora bien, examinadas las actuaciones, se concluye que el ejecutado no sufrió indefensión, ya que dicha omisión material podría haberse subsanado si el ejecutado hubiese adoptado una postura activa, poniendo la misma de manifiesto en el plazo que la ley le concedía para formular oposición a la ejecución, algo que no realizó, por lo que sólo al mismo es achacable la supuesta indefensión que se alega. En consecuencia, procede la desestimación de la nulidad de actuaciones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Durante la sustanciación del incidente de nulidad planteado, el órgano judicial volvió a remitir el 1 de junio de 2018, por la misma vía telemática, otra notificación con relación al mismo proceso de ejecución y a través de la cual se remite el auto por el que se despachaba ejecución y, con fecha 20 de julio de 2018 se remite nuevo archivo consistente en un auto aclaratorio del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sociedad ejecutada formuló oposición al despacho de ejecución, que fue inadmitida por presentación extemporánea mediante auto de 14 de septiembre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Contra la anterior resolución interpuso dicha ejecutada recurso de reposición, al considerar que las diligencias de notificación y requerimiento no habían sido realizadas el día 25 de mayo de 2018 sino, en su caso, a partir de esa fecha y hasta el 10 de julio de 2018, dado que la comunicación remitida a través de la dirección electrónica habilitada no podía entenderse más que un aviso de puesta a disposición o descarga de su contenido durante un plazo determinado (en el caso desde el 25 de mayo al 10 de julio de 2018). Entenderlo de otro modo, además de infringir los arts. 135, 152, 160 y 162 LEC, vulneraría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recurso fue resuelto por auto desestimatorio de 21 de marzo de 2019, al constatar el órgano judicial la condición de persona jurídica de la recurrente y, como tal, su obligación de relacionarse con la administración de justicia por medios electrónicos, de conformidad con lo previsto en la disposición transitoria cuarta de la Ley 42/2015, de 5 de octubre, de reforma de la Ley 1/2000, de 7 de enero, de enjuiciamiento civil así como en los arts. 14.2 Ley 39/2015 y el Real Decreto 1065/2015, de 27 de enero, sobre comunicaciones electrónicas en la administración de justicia en el ámbito territorial del Ministerio de Justicia y por el que se regula el sistema Lexnet. En su fundamento jurídico 2 concluye que “en el presente caso, consta que la notificación se puso a disposición de las recurrentes en fecha 25-05-2018 no accediendo al contenido hasta el día 26-07-2018 (fuera de los tres días que establece la normativa procesal), presentando los escritos de oposición a la ejecución en fecha 04-09-2018 claramente fuera del plazo legalmente establecido en el art. 556. 1 de la LEC (dentro de los 10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atribuye a los autos impugnados la vulneración del derecho fundamental de la sociedad recurrente a la tutela judicial efectiva y a un proceso con garantías y sin indefensión (art. 24, apartados 1 y 2 CE). La interpretación de la legislación procesal, habría privado injustamente a la recurrente de su derecho a formular oposición a la ejecución hipotecaria. Tratándose de un primer emplazamiento, debió realizarse del modo tradicional (art. 273 LEC). El órgano judicial habría incumplido su obligación de asegurar, no ya la legalidad formal de los actos de comunicación, sino el cumplimiento efectivo de su finalidad constitucional. La demanda solicita por otrosí la suspensión del proceso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Secretaría de Justicia de la Sección Tercera Sala Segunda, de este Tribunal Constitucional, dictó diligencia de ordenación el 22 de mayo de 2019 solicitando al juzgado a quo la remisión, a la mayor brevedad posible, de certificación o fotocopia adverada de las actuaciones correspondientes al procedimiento de ejecución hipotecaria seguido en ese juzgado con el número 45-2018. La misma solicitud se dirige por diligencia de ordenación de 2 de septiembre de 2019, tras advertir que el CD remitido por el órgano judicial, además de carecer de fehaciencia alguno, se halla vacío.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 Justicia de la Sección Tercera Sala Segunda, de este Tribunal Constitucional, dictó diligencia de ordenación el 18 de diciembre de 2019 solicitando al juzgado a quo la remisión de certificación acreditativa de la interposición o no de recurso de apelación contra alguna de las resoluciones dictadas en las actuaciones principales o en alguna pieza separada en el procedimiento de ejecución hipotecaria seguido en ese juzgado con el número 45-2018, y si ha recaído resolución para que se remita a la Sala testimonio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de 23 de enero de 2020, el Juzgado de Primera Instancia e Instrucción núm. 6 de Lorca remitió a este tribunal certificación que en el procedimiento referenciado consta recurso de reposición contra el auto de fecha de 17 de diciembre de 2019, sobre sucesión procesal, que se encuentra en fase de resolver, no constando ningún otro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15 de junio de 2020, la Sección Segunda de este tribunal acuerda admitir a trámite el recurso y dirigir comunicación al Juzgado de Primera Instancia e Instrucción núm. 6 de Lorca, a fin de que, en el plazo de diez días, emplace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la misma fecha, la Sección acuerda formar la oportuna pieza para la tramitación del incidente de suspensión y, conforme a lo dispuesto en el art. 56 de la Ley Orgánica del Tribunal Constitucional (LOTC), concede un plazo común de tres días a la parte recurrente y al Ministerio Fiscal para que aleguen lo que estimen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el 29 de junio de 2020, la demandante de amparo insiste en que la ejecución se ha despachado con vulneración de su derecho a la tutela judicial efectiva. Añade que la doctrina constitucional ha accedido a suspender ejecuciones hipotecarias en otros casos y que no hacerlo en el presente conduciría a situaciones irreversibles con inevitables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el 7 de julio de 2020, el Ministerio Fiscal interesa que se acuerde la anotación preventiva de la demanda en el registro de la propiedad, pese a no haber sido solicitada. Tras exponer la doctrina constitucional sobre suspensión de resoluciones impugnadas, considera que, de no adoptarse la anotación preventiva de la demanda, la tutela que el tribunal pudiera otorgar corre el riesgo de ser incompleta; dejaría abierta la posibilidad de que la finca sea transmitida a un tercero de buena fe mientras se sustancia y resuelve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resolver sobre la procedencia de la medida cautelar instada por la parte recurrente en amparo y dirigida frente al procedimiento de ejecución hipotecaria núm. 45-2018 seguido en el Juzgado de Primera Instancia e Instrucción núm. 6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La suspensión no podrá pues ocasionar perturbación grave alguna sobre un interés constitucionalmente protegido o los derechos fundamentales o libertades de otra persona. Por esta razón se configura como una medida de carácter excepcional y de aplicación restrictiva (por todos, AATC 117/2015, de 6 de julio, FJ 1, y 59/2017, de 24 de abril, FJ 1).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Debe mostrar que la ejecución del acto recurrido puede privar a la demanda de amparo de su finalidad, provocando que el restablecimiento del recurrente en el derecho constitucional vulnerado sea tardío y convirtiendo en meramente ilusorio y nominal el amparo impetrado [AATC 51/1989, de 30 de enero, 290/1995, de 23 de octubre; 370/1996, de 16 de diciembre; 283/1999, de 29 de noviembre; 90/2014, de 120 27 de marzo, FJ 1; 190/2015, de 5 de noviembre, FJ 2 a); 59/2017, de 24 de abril, 146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la reputa medida idónea para evitar el perjuicio derivado de que la adquisición del bien por tercero lo haga irreivindicable. Esta ha sido la solución acogida recientemente, en los AATC 75/2019 y 76/2019, ambos de 15 de julio, entre muchos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45-2018 seguido en el Juzgado de Primera Instancia e Instrucción núm. 6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