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7526-2019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7526-2019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353-2018 seguido en el Juzgado de Primera Instancia e Instrucción núm. 4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26 de diciembre de 2019, la entidad Euroinversiones Inmobiliaria Costa Sur, S.L., representada por la procuradora de los tribunales doña Blanca Berriatua Horta y bajo la dirección del letrado don Marcelino Gilabert García, interpuso recurso de amparo contra los autos dictados por el Juzgado de Primera Instancia e Instrucción núm. 4 de Lorca en el procedimiento de ejecución hipotecaria núm. 353-2018 en fechas 19 de noviembre de 2018 y 30 de octubre de 2019 por los que, respectivamente, se inadmite por extemporánea la oposición a la ejecución hipotecaria y se confirma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353-2018 promovido por la entidad Banco de Sabadell, S.A., frente a las sociedades Euroinversiones Inmobiliarias Costa Sur, S.L., en calidad de prestataria e hipotecante, y Penrei Inversiones, S.L., en calidad de titular registral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21 de junio de 2018 se acordó despachar ejecución frente las sociedades demandadas. El citado auto y el decreto de la misma fecha que le sigue fueron comunicados a las citadas entidades a través de la sede judicial electrónica el día 26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entidad Euroinversiones Inmobiliaria Costa Sur, S.L., presentó escrito de oposición a la ejecución despachada con fecha 29 de agosto de 2018. Por auto de 19 de noviembre de 2018 se acordó su inadmisión por presentación extemporánea, tomando como fecha de notificación el 26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26 de junio de 2018 sino, en su caso, a partir de esa fecha y hasta el 11 de agosto de 2018 dado que la comunicación remitida a través de la dirección electrónica habilitada no puede entenderse más que un aviso de puesta a disposición o descarga de su contenido durante un plazo determinado (en el caso desde el 26 de junio al 11 de agosto de 2018) y entenderlo de otro modo, además de infringir los arts. 135, 152, 160 y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recurso fue tramitado y resuelto por auto de 30 de octubre de 2019 en sentido desestimatorio al constatar su condición de persona jurídica y la obligación que como tal tiene de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el Real Decreto 1065/2015, de 27 de enero, sobre comunicaciones electrónicas en la administración de justicia en el ámbito territorial del Ministerio de Justicia y por el que se regula el sistema Lexnet; en su fundamento jurídico único concluye que “del propio documento núm. 1 aportado con el escrito interponiendo recurso de reposición y de las propias alegaciones vertidas por la recurrente, resulta la correcta recepción de la notificación en fecha 26 de junio de 2018, fecha en la que se materializó la “puesta a disposición” de la notificación correctamente y del propio documento resulta que pasaron más de tres días desde la misma sin que se hubiera accedido al contenido hasta el día 1 de agosto de 2018, por tanto, en aplicación estricta de lo dispuesto en el apartado segundo del art. 162 LEC, sin que se haya justificado por el recurrente una imposibilidad de acceder al sistema en este plazo. Por todo ello debe ser desestimado el recurso interpuesto, al ser el auto recurrido plenamente ajustado a Derecho, al inadmitir un escrito que fue presentado fuera de plazo cuando ya había precluído la posibilidad de hacerlo”.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la interpretación ofrecida en el auto objeto de impugnación, que se apoya en la Ley de procedimiento administrativo eludiendo las garantías exigibles para las notificaciones de un proceso judicial, cercena el derecho a la tutela judicial efectiva al privar a la recurrente del derecho a formular oposición en un proceso de ejecución hipotecaria. A tal fin, aduce que siguió la literalidad de las instrucciones contenidas en un correo electrónico que recibió procedente del servicio de notificaciones electrónicas, accediendo al contenido de la notificación dentro del plazo establecido en el mismo. El citado correo tiene el siguiente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notificación estará disponible en su dirección electrónica habilitada única desde el 26-06-2018 hasta el 11-08-2018. Si no procediera a su lectura en el plazo indicado se producirán los efectos correspondientes, según la normativa aplicable. Para que conste como leída, por favor acceda a http://notificaciones060.es Asunto: ‘JDO. 1 INST. E INSTR. N 4 DE LORCA EHJ/0000353/2018’”.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entidad recurrente afirmando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intérprete, obligándole a promover la defensa mediante la correspondiente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la continuación de la ejecución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julio de 2020 la Sección Primera de este tribunal acordó admitir a trámite el recurso de amparo y dirigir comunicación al Juzgado de Primera Instancia e Instrucción núm. 4 de Lorca, a fin de que, en el plazo de diez días, remitiera certificación o fotocopia adverada de las actuaciones correspondientes a los autos de ejecución hipotecaria y emplazara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28 de julio de 2020, la parte demandante formuló sus alegaciones, reiterando lo dicho en el otro sí de su demanda y trascribiendo parte de los AATC 21/2018, de 5 de marzo; 58/2018, de 4 de junio, y 117/2018, de 29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el 1 de septiembre de 2020, interesa que se acuerde la anotación preventiva de la demanda en el registro de la propiedad, aunque esta última medida no haya sido solicitada en el recurso de amparo. Tras exponer la doctrina de este tribunal sobre suspensión de resoluciones y actos impugnados, considera que la aplicación al caso de dicha doctrina nos debe llevar a considerar que nos encontramos en uno de esos supuestos en que, de no adoptarse la medida de anotación preventiva de la demanda, la tutela que pudiera otorgarse por este tribunal no sería completa si se deja abierta la posibilidad de que la finca sea transmitida a un tercero de buena fe mientras se sustancia y resuelve el presente recurso de amparo, por lo que interesa la anotación preventiva de la demanda en el registro de la propiedad evitando así situaciones cuya reversibilidad sería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353-2018, seguido en el Juzgado de Primera Instancia e Instrucción núm. 4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recurridos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y, por el contrario, es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2/2019, de 9 de enero; 88/2018, de 17 de septiembre, y 106/2017, de 17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353-2018 seguido en el Juzgado de Primera Instancia e Instrucción núm. 4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