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2.521/96, promovido por doña Carmen Ruiz de la Cuesta Peiró y don Angel Hurtado Cifuentes, representados por el Procurador de los Tribunales don Argimiro Vázquez Guillén y defendida por el Letrado don Pedro A. García Valcárcel contra las Resoluciones del Subsecretario de Justicia y de la Dirección General de Relaciones con la Administración de Justicia, de 15 de julio y 24 de marzo de 1993, respectivamente, y contra la Sentencia de la Sección Tercera de la Sala de lo Contencioso-Administrativo de la Audiencia Nacional de 6 de mayo de 1996.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junio de 1996, el Procurador de los Tribunales don Argimiro Vázquez Guillén, actuando en nombre y representación de doña Carmen Ruiz de la Cuesta Peiró y de don Angel Hurtado Cifuentes, interpuso recurso de amparo contra las Resoluciones de la Dirección General de Relaciones con la Administración de Justicia y del Subsecretario del Ministerio de Justicia de 24 de marzo y 15 de julio de 1993 y contra la Sentencia de la Sección Tercera de la Sala de lo Contencioso- Administrativo de la Audiencia Nacional de 6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Los demandantes de amparo participaron en el proceso selectivo y en el primero de los ejercicios la recurrente Sra. Ruiz de la Cuesta obtuvo 12'35 puntos y don Ángel Hurtado Cifuentes 14'33 puntos.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El 26 de junio de 1992 se publicó en el tablón de anuncios del Tribunal Superior de Justicia de Madrid la lista de los aspirantes que habían superado el segundo ejercicio, entre los que no se encontraba la demandante de amparo.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 aspirantes que habían aprobado las pruebas, en la que no constaban los actores, sin que frente a esta Resolución interpusiesen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Frente a ella, recurrió la demandante Sra. Ruiz de la Cuesta por escrito de 12 de febrero de 1993. </w:t>
      </w:r>
    </w:p>
    <w:p w:rsidRPr="00C21FFE" w:rsidR="00F31FAF" w:rsidRDefault="0035654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los actores interpusieron recurso de reposición, desestimado por otra de 15 de julio de 1993. </w:t>
      </w:r>
    </w:p>
    <w:p w:rsidRPr="00C21FFE" w:rsidR="00F31FAF" w:rsidRDefault="00356547">
      <w:pPr>
        <w:rPr/>
      </w:pPr>
      <w:r w:rsidRPr="&lt;w:rPr xmlns:w=&quot;http://schemas.openxmlformats.org/wordprocessingml/2006/main&quot;&gt;&lt;w:lang w:val=&quot;es-ES_tradnl&quot; /&gt;&lt;/w:rPr&gt;">
        <w:rPr/>
        <w:t xml:space="preserve">h) Las Resoluciones referidas en el apartado anterior fueron recurridas en vía contencioso- 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"No hay infracción del principio de igualdad ni de otros principios constitucionales, dado que fue el propio aquietamiento de los actores frente a la Resolución de 7 de septiembre de 1992 el que determinó su distinta posición jurídica, respecto a los que sí recurrieron, los cuales, amparados en el principio de seguridad jurídica no pueden ver afectado su derecho por la concurrencia de quienes, como los recurrentes, no han observado las exigencias legales en la defensa de sus intereses, habiendo consentido la resolución que, poniendo fin al procedimiento selectivo para ellos, definía su situación jurídica, que quedaba así fijada con independencia de su legalidad, al no ser cuestionada en tiempo y forma, y que por esta vía de extensión de efectos se pretende reabrir dicho procedimiento y continuar con el mismo, lo que supone ampararse, disfrutar, valerse de la diligencia de otros competidores en las pruebas y colocarse en su misma situación jurídica, que, como se ha visto, no tienen por causa sólo a ellos imputable".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y 23.2 C.E. Se afirma que la lesión constitucional se ha originado al haberse aplicado un criterio en la corrección de unos exámenes y otro distinto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se valore a los opositores con criterios diferentes. Asimismo se estima lesionado el art. 14 C.E. por cuanto la Sección Novena del Tribunal Superior de Justicia ha dictado Sentencia el 4 de mayo de 1995 en un supuesto similar y, a diferencia de la Sentencia ahora impugnada, estima íntegramente las pretensiones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1997, la Sección Segunda acordó conceder un plazo de diez días al Procurador Sr. Vázquez Guillén para que aportara certificación expedida por la Secretaria de la Sección Tercera de la Sala de lo Contencioso de la Audiencia Nacional acreditativa de la fecha de notificación de la Sentencia recurrida a la representación legal de los actores. Tal requerimiento fue cumplimentado por escrito presentado ante el Registro de este Tribunal el 17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marzo de 1997, la Sección Primera acordó admitir a trámite la demanda y, en aplicación de lo dispuesto en el art. 51 LOTC, requerir a la Audiencia Nacional para que remitiera testimonio del recurso contencioso- administrativo núm. 1477/93,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mayo de 1997, la Sección Primera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cumplimiento del citado trámite tuvo entrada en el Registro de este Tribunal el 31 de mayo de 1997 el escrito de la representación procesal de los demandantes de amparo en el que reiteraba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día 29 de mayo de 1997. Afirma que la cuestión que se plantea estriba en dilucidar la concurrencia de la cualidad de interesados de los actores, atendiendo al concreto instante en el que se dictó la Resolución recurrida. Al respecto recuerda que los ahora recurrentes no formularon recurso alguno contra la Resolución que los excluía de manera definitiva, al no resultar incluidos en la lista de aprobados del primer ejercicio. Y este dato sirve para fundamentar la Resolución desestimatoria de la pretensión, ya que, consentida tal resolución, los actos ulteriores de desarrollo no inciden en titularidad alguna, añadiendo en el fundamento jurídico 8º que fue el aquietamiento de los demandantes lo que determinó su distinta posición jurídica respecto a los que sí recurrieron. Y esta doctrina contenida en la Sentencia es irreprochable: los opositores están integrados por una serie de trámites, algunos de ellos llamados a desempeñar un efecto preclusivo de lo actuado hasta el momento. La finalidad selectiva del procedimiento se va cumpliendo a lo largo de las distintas fases, de modo que al derecho que a cada partícipe compete de impugnar aquellas resoluciones que impliquen su descalificación o apartamiento se corresponde el efecto del acto consentido respecto de aquellas resoluciones que no sean recurridas en tiempo y forma. Este efecto responde a una exigencia de orden y buen funcionamiento del procedimiento de selección cuya última razón se encuentra en el principio de seguridad jurídica. </w:t>
      </w:r>
    </w:p>
    <w:p w:rsidRPr="00C21FFE" w:rsidR="00F31FAF" w:rsidRDefault="00356547">
      <w:pPr>
        <w:rPr/>
      </w:pPr>
      <w:r w:rsidRPr="&lt;w:rPr xmlns:w=&quot;http://schemas.openxmlformats.org/wordprocessingml/2006/main&quot;&gt;&lt;w:lang w:val=&quot;es-ES_tradnl&quot; /&gt;&lt;/w:rPr&gt;">
        <w:rPr/>
        <w:t xml:space="preserve">Cualquier actuación administrativa no debidamente impugnada por sus destinatarios puede producir un efecto diferencial respecto de aquéllos que hayan impugnado y conseguido la anulación. Habrá entonces dos géneros de personas diferentemente tratadas, pero tal comparación no debe servir para un juicio de igualdad de trato, si no es producto de la arbitrariedad del poder público, sino del ejercicio de la facultad de impugnación de los interesados. La diferenciación de situaciones materiales podrá ser inexistente, mas ello no autoriza a prescindir de las diferencias derivadas del ejercicio efectivo del derecho de recurso y de sus resultados. Concluye solicitando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junio tuvo entrada en el Registro de este Tribunal el escrito de alegaciones del Ministerio Fiscal. Afirma su acuerdo tanto con la premisa -que la Resolución de 7 de septiembre de 1992 puso fin a la participación de los actores en el proceso selectivo- como con las conclusiones de la Sala de lo Contencioso-Administrativo de la Audiencia Nacional, estimando en consecuencia que no ha existido quiebra del art. 23.2 C.E. El término de comparación que se cita para fundamentar el trato discriminatorio resulta inadecuado, pues los opositores con los que se pretende el contraste sí mostraron su disconformidad con la resolución que los excluía de la lista de aprobados. Para ellos el proceso selectivo continuó en las sucesivas vicisitudes procedimentales y procesales, no ocurriendo lo mismo con los actores para los que su intervención en las pruebas concluyó cuando se aquietaron ante su exclusión. </w:t>
      </w:r>
    </w:p>
    <w:p w:rsidRPr="00C21FFE" w:rsidR="00F31FAF" w:rsidRDefault="00356547">
      <w:pPr>
        <w:rPr/>
      </w:pPr>
      <w:r w:rsidRPr="&lt;w:rPr xmlns:w=&quot;http://schemas.openxmlformats.org/wordprocessingml/2006/main&quot;&gt;&lt;w:lang w:val=&quot;es-ES_tradnl&quot; /&gt;&lt;/w:rPr&gt;">
        <w:rPr/>
        <w:t xml:space="preserve">En segundo lugar, tampoco se aprecia una quiebra del principio de igualdad en la aplicación de la ley, pues el principio de independencia judicial impide que se comparen resoluciones de distintos órganos judiciales. Concluye solicitando al Tribunal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enero de 1998. se acordó señalar el siguiente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Excluida de entrada la invocada lesión del derecho a la igualdad en la aplicación de la Ley, al invocar como término de comparación una Sentencia dictada por un diferente órgano jurisdiccional (SSTC 58/1992, 140/1992, 91/1993, 46/1996), la</w:t>
      </w:r>
    </w:p>
    <w:p w:rsidRPr="00C21FFE" w:rsidR="00F31FAF" w:rsidRDefault="00356547">
      <w:pPr>
        <w:rPr/>
      </w:pPr>
      <w:r w:rsidRPr="&lt;w:rPr xmlns:w=&quot;http://schemas.openxmlformats.org/wordprocessingml/2006/main&quot;&gt;&lt;w:lang w:val=&quot;es-ES_tradnl&quot; /&gt;&lt;/w:rPr&gt;">
        <w:rPr/>
        <w:t xml:space="preserve">cuestión de este recurso de amparo resulta idéntica a la resuelta por esta Sala en la reciente STC 10/1998, de 13 de enero, por lo que hemos de dar igual respuesta, remitiéndonos a la doctrina que la sustenta.</w:t>
      </w:r>
    </w:p>
    <w:p w:rsidRPr="00C21FFE" w:rsidR="00F31FAF" w:rsidRDefault="00356547">
      <w:pPr>
        <w:rPr/>
      </w:pPr>
      <w:r w:rsidRPr="&lt;w:rPr xmlns:w=&quot;http://schemas.openxmlformats.org/wordprocessingml/2006/main&quot;&gt;&lt;w:lang w:val=&quot;es-ES_tradnl&quot; /&gt;&lt;/w:rPr&gt;">
        <w:rPr/>
        <w:t xml:space="preserve">En ella decíamos que si un opositor es excluido del proceso selectivo en virtud de la aplicación de un erróneo criterio de calificación, cuando éste es corregido por obra de recurso de terceros, la Administración está objetivamente obligada a dispensar a todos un trato igual en virtud del art.  23.2 C.E., produciendo de otro modo un vicio autónomo y distinto que genera el derecho a la reparación.  El aquietamiento ante una infracción de la legalidad, añadiamos, no impide que pueda obtenerse la reparación de una ulterior lesión con relevancia constitucional, como es la aplicación de dos diferentes baremos para la puntuación de los aspirantes en el proceso selectivo; el entero ordenamiento jurídico ha de ser interpretado de conformidad con el art. 24.1 C.E.  a fin de propiciar que cualquier ciudadano pueda recabar la tutela de los Jueces y Tribunales en defensa de los derechos e intereses legítimos que el ordenamiento le reconoce y, en particular, de los derechos fundamentales (fundamento jurídico 6º).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fundamental de acceso a las funciones públicas en condiciones de igualdad (art. 23.2 C.E.).</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15 de julio y 24 de marzo de 1993, y retrotraer las actuaciones en cuanto se refieren a los demandantes, para que se revisen sus exámenes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Contencioso-Administrativo de la Audiencia Nacional de 6 de mayo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