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24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abril de 1997, tuvo entrada en el Registro General de este Tribunal escrito de la representación procesal de don Joao Antonio Faustino Vicente, por medio del cual promueve recurso de amparo frente a la Sentencia de 15 de marzo de 1997, de la Audiencia Provincial de Alicante, núm. 169/97, que desestima el recurso de apelación interpuesto por el demandante de amparo frente a la de 28 de noviembre de 1996 del Juzgado de Instrucción núm. 3 de San Vicente del Raspeig, recaída en juicio de faltas núm. 77/96. La Audiencia, con estimación parcial del recurso interpuesto por otra de las partes, confirma la pena impuesta al demandante de amparo, como autor de una falta de lesiones, consistente en una multa de 5.000 pesetas, y modifica su responsabilidad civil, fijándola en 320.000 pesetas por las lesiones y 400.000 pesetas por las secuelas sufridas.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consisten en que, al celebrarse el correspondiente juicio, no compareció el Médico Forense, a pesar de que había sido solicitada su presencia, ante lo que pidió la suspensión del juicio, que le fue denegada, continuando el mismo y dictándose Sentencia sin que, según alega, hubiese podido someter a contradicción el informe que dicho funcionario evacuó. Denunciado esto en la apelación y solicitada la práctica de la prueba en esa instancia, la Audiencia le contestó que el momento procesal idóneo para discutir la duración de las lesiones era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derecho fundamental a la tutela judicial efectiva, al desconocerse los repetidos intentos del demandante de amparo de someter a contradicción el referido informe forense, así como del derecho a la defensa, al impedírsele la práctica de una prueba correcta y formalmente solicitada.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expresando que de la misma se podría derivar un perjuicio irreparable que haría perder al amparo su finalidad, por el desequilibrio que en su economía doméstica se derivaría del pago de las sumas que integran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junio de 1997, la Sección acordó, de conformidad con el art. 50.3 LOTC, oír al demandante de amparo y al Fiscal por un plazo de diez días acerca de la posible existencia del motivo de inadmisión consistente en que la demanda carezca manifiestamente de contenido que justifique una decisión sobre el fondo de la misma por parte de este Tribunal. </w:t>
      </w:r>
    </w:p>
    <w:p w:rsidRPr="00C21FFE" w:rsidR="00AD51A7" w:rsidRDefault="008777C4">
      <w:pPr>
        <w:rPr/>
      </w:pPr>
      <w:r w:rsidRPr="&lt;w:rPr xmlns:w=&quot;http://schemas.openxmlformats.org/wordprocessingml/2006/main&quot;&gt;&lt;w:lang w:val=&quot;es-ES_tradnl&quot; /&gt;&lt;/w:rPr&gt;">
        <w:rPr/>
        <w:t xml:space="preserve">Evacuado el trámite, tanto el demandante de amparo como el Fiscal justificaron la procedencia de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12 de enero de 1998, la Sección Segunda de este Tribunal acordó admitir a trámite la demanda de amparo, previa reclamación de las actuaciones y haber oído nuevamente a las partes sobre la admisibilidad del recurso. A tenor de lo dispuesto en el art. 51 LOTC, requirió a los órganos judiciales que conocieron del asunto para que procedieran al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21 de enero de 1998, el demandante de amparo formuló sus alegaciones, justificando la procedencia de la suspensión en la ilegalidad de la resolución impugnada y el perjuicio económico que la misma le supondría.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presentado el 20 de enero de 1998, el Fiscal interesó la no suspensión de la condena por tratarse del pago de una suma de dinero, sin que exista dato alguno que permita suponer la insolvencia del demandante.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el demandante de amparo la suspensión de una resolución judicial que le impone una multa de 5.000 pesetas por una falta de lesiones y el pago de una indemnización en concepto de responsabilidad civil.</w:t>
      </w:r>
    </w:p>
    <w:p w:rsidRPr="00C21FFE" w:rsidR="00AD51A7" w:rsidRDefault="008777C4">
      <w:pPr>
        <w:rPr/>
      </w:pPr>
      <w:r w:rsidRPr="&lt;w:rPr xmlns:w=&quot;http://schemas.openxmlformats.org/wordprocessingml/2006/main&quot;&gt;&lt;w:lang w:val=&quot;es-ES_tradnl&quot; /&gt;&lt;/w:rPr&gt;">
        <w:rPr/>
        <w:t xml:space="preserve">El Ministerio Fiscal interesa la denegación de lo solicitado por el contenido meramente pecuniario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en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En coherencia con lo expuesto, se ha entendido que las resoluciones judiciales con efectos meramente económicos, en principio, no causan perjuicios irreparables, por lo que no procede su suspensión (AATC 275/1990 ó 66/1991)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de conformidad por lo interesado por el Ministerio Fiscal, procede denegar la suspensión, al tratarse de condena meramente pecuniaria, por lo que debe prevalecer el interés general ínsito en el cumplimiento de las resoluciones judiciales.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petición de suspensión formulada por el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