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13 de julio de 2004, la Procuradora de los Tribunales doña Inés Lería Mosquera, interpuso, en nombre de don Ahmed Mohamed Amar, recurso de amparo contra el Auto de la Sección Sexta de la Audiencia Provincial de Cádiz en Ceuta, de fecha 9 de junio de 2004, que desestimó el recurso de súplica interpuesto contra el Auto, de fecha 10 de mayo de 2004, en virtud del cual se prorrogó la prisión provisional del recurrente hasta la mitad de la pena impuesta en Sentencia de fecha 10 de diciembre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vulneración del derecho a la libertad personal (art. 17.1 CE) en relación con el derecho a la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28 de septiembre de 2004,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recurrente de amparo formuló sus alegaciones en escrito que tuvo entrada en este Tribunal el día 8 de octubre, reiterando su petición de suspensión por las siguientes razones: en primer lugar, porque la única forma de salvaguardar cautelarmente el derecho a la libertad en este caso es a través de su anticipación; en segundo lugar, porque la resolución combatida ha sido dictada con ignorancia inexcusable del art. 504.2 in fine LECrim y jurisprudencia del Tribunal Constitucional que lo desarrolla, lo que refuerza la apariencia de buen derecho de la petición que se realiza; y, en tercer lugar, porque, habida cuenta que la resolución recurrida ha basado su decisión simplemente en el hecho de mediar Sentencia previa en la instancia, sin conectar tal decisión con circunstancias de interés general tales como peligro de fuga o posibilidad de delinquir nuevamente, la resolución que ahora se dicte no tendría que entrar a valorar tales circunstancias que han sido omitidas por la Sala, lo que estaría vedado en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11 de octubre de 2004, el Ministerio Fiscal, interesó la denegación de la suspensión de las resoluciones, de conformidad con la jurisprudencia reiterada de este Tribunal (por todos, ATC 364/2003, FFJJ 2 y 3), pues la suspensión de la ejecución constituiría una auténtica anticipación de un eventual amparo y supondría una grave perturbación en el ejercicio de las funciones jurisdiccionales y en el interés general que su ejecución implica. Todo ello, sin perjuicio de que se de tramitación preferente al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  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  En el caso, se ha de examinar la petición de suspensión de las resoluciones judiciales de prórroga de la prisión provisional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indicado reiteradamente que “es doctrina reiterada de este Tribunal que si bien la afección del derecho a la libertad personal de las resoluciones impugnadas supone que su ejecución causa perjuicios irreparables, sin embargo, la suspensión de la ejecución de las resoluciones judiciales relativas a medidas cautelares de acuerdo o prórroga de prisión provisional equivaldría a un otorgamiento anticipado del amparo, no procediendo en este trámite un examen de fondo de la demanda. En particular, hemos declarado: "Cuando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Hemos reiterado que cuando lo que se recurre son resoluciones judiciales existe un interés general en su ejecución, y, a su vez, que este principio ha de ser matizado caso a caso, pues en otro supuesto nunca cabría la suspensión de resoluciones judiciales al convertirse la perturbación del interés general en causa de denegación de la misma. La mera perturbación que provoca ya la pérdida de ejecutividad de una resolución judicial no puede impedir por sí sola la suspensión (ATC 169/1995), por tanto el análisis ha de efectuarse caso por caso valorando los intereses en conflicto. 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[ATC 332/1996; en sentido similar AATC 249/1996, 22/1997, 164/1998, 147/2000, 275/1999, 121/2001]” (ATC 364/2003, de 10 de noviembre,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lo expuesto no procede conceder la suspensión solicitada; sin embargo, la gravedad y certeza de los perjuicios que esta denegación puede ocasionar obligan a este Tribunal a reducir en lo posible esos efectos, con lo que, como se ha hecho en otros casos, y singularmente en los antes citados, la Sala acuerda acelerar la resolución del presente recurso, incluso anteponiéndola en el orden de señalamientos (AATC 249/1996, 22/1997, 164/1998, 147/2000, 275/1999, 121/2001, 364/2003).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los Autos de la Sección Sexta de la Audiencia Provincial de Cádiz de 10 de mayo y 9 de junio de 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dos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