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168</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 de octubre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Manuel Aragón Reyes, doña Adela Asua Batarrita,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3604-2011, promovido por doña Carmen Menéndez González-Palenzuela y doña Rosa María Alcalá Chacón, representadas por el Procurador de los Tribunales don Jorge Laguna Alonso y asistido por el Abogado don Wilfredo Jurado Rodríguez, contra los acuerdos de la Mesa de la Comisión de Medio Ambiente, Vivienda y Ordenación del Territorio de la Asamblea de Madrid de 14 de marzo de 2011, que dispusieron, de un lado, aceptar que el Consejo de Gobierno de la Comunidad de Madrid delegase en el Director General de Medio Ambiente la comparecencia sobre la propuesta de declaración del parque nacional de las Cumbres de la Sierra de Guadarrama y, de otro, que las propuestas de resolución sobre esa cuestión hubieran de ser de aceptación o rechazo global, inadmitiendo por ello la propuesta de modificación registrada por el Grupo Socialista. Han comparecido los Letrados de la Asamblea de Madrid en nombre de ésta. Ha intervenido el Ministerio Fiscal. Ha sido Ponente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22 de junio de 2011 y presentado en el servicio de registro central de los Tribunales civiles de Madrid el día 15 de junio de 2011, el Procurador de los Tribunales don Jorge Laguna Alonso, en nombre y representación de doña Carmen Menéndez González-Palenzuela y de doña Rosa María Alcalá Chacón, “Diputadas y en su calidad de miembros del Grupo Parlamentario Socialista en la Asamblea de Madrid”, interpuso demanda de amparo contra los acuerdos de la Mesa de la Comisión de Medio Ambiente, Vivienda y Ordenación del Territorio de dicha Asamblea de 14 de marzo de 2011, que dispusieron, de un lado, aceptar que el Consejo de Gobierno de la Comunidad de Madrid delegase en el Director General de Medio Ambiente la comparecencia sobre la propuesta de declaración del parque nacional de las Cumbres de la Sierra de Guadarrama y, de otro, que las propuestas de resolución sobre esa cuestión hubieran de ser de aceptación o rechazo global, inadmitiendo por ello la propuesta de modificación registrada por el Grupo Socialista.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Dentro del proceso para la declaración como parque nacional de un espacio natural, regulado por la Ley 5/2007, de la red de parques nacionales destacan las siguientes determinaciones. Art. 10.1: “La declaración de Parque Nacional … se hará por Ley de las Cortes Generales”; art. 10.3: “La iniciativa … corresponde al órgano que determine la Comunidad Autónoma o al Gobierno del Estado. En todo caso, la iniciativa se formalizará mediante la aprobación inicial de la propuesta por las Comunidades Autónomas en cuyo territorio se encuentren situados”; art. 10.5: “La propuesta, tras su aprobación inicial, será sometida a trámite de información pública …”; y 10.6: “Finalizado el trámite anterior, la propuesta será sometida a la Asamblea Legislativa de la Comunidad o Comunidades Autónomas afectadas y, tras obtener su acuerdo favorable, será trasladada al Ministerio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18 de noviembre de 2009 se firmó un Protocolo general de colaboración entre la Comunidad Autónoma de Madrid y la Comunidad Autónoma de Castilla y León habida cuenta del ámbito territorial al que se extiende la declaración del parque nacional, que contenía la propuesta de declaración del parque nacional de las Cumbres de la Sierra de Guadarrama, acordando el Consejo de Gobierno de la Comunidad de Madrid en su reunión de 17 de febrero de 2011 dar traslado de tal propuesta a la Asamblea Legislativa de esta Comunidad Autónoma a los efectos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22 de febrero de 2011 se acordó, por la Presidencia de la Cámara, requerir a la Secretaría General un informe jurídico respecto de la tramitación de dicha propuesta, que ésta evacuó el 3 de marzo concretando los siguientes puntos: “verificado el cumplimiento de los trámites previos, la Asamblea de Madrid deberá tramitar la propuesta recibida. Como es lógico, por respeto a la autonomía parlamentaria, la Ley 5/2007 no fija el procedimiento, sino que se limita a exigir, a efectos de continuar la tramitación, que las Asambleas Legislativas de las Comunidades Autónomas afectadas aprueben la propuesta de sus respectivas Comunidades, de modo que será la normativa interna la que determine el tipo de procedimiento parlamentario que haya de aplicarse. En el caso de la Asamblea de Madrid, a falta de un procedimiento específico, por lo demás no imprescindible, el precepto reglamentario que parece más acorde con las competencias de la Cámara, que no se limitan a las de mero debate o examen, sino que requieren un pronunciamiento expreso favorable sobre la propuesta para que ésta pueda prosperar, es el art. 215 RAM [Reglamento de la Asamblea de Madrid, aprobado por el Pleno el 30 de enero de 1997], previsto para el caso de que ‘el Consejo de Gobierno remitiera un programa o un plan requiriendo el pronunciamiento de la Asamblea’. En principio, el Reglamento da preferencia a la tramitación de tales propuestas en comisión, de manera que la Mesa de la Cámara debe ordenar su envío a la que considere competente, en este caso la de Medio Ambiente, Vivienda y Ordenación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informe concluía subrayando que “dado que se trata de una propuesta común de las dos Comunidades afectadas, articulada en torno a un Protocolo General de Colaboración, firmado el 18 de noviembre de 2009, el contenido de las propuestas de resolución habrán de ceñirse a la aprobación o rechazo en bloque de la iniciativa, de forma análoga a lo previsto en el art. 179.5 RAM sobre autorización de acuerdos o convenios de cooperación. En todo caso será la Mesa de la Comisión la que deba organizar la tramitación de la iniciativa y fijar los plazos correspondientes (art. 215.3 RAM)”.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Mesa de la Asamblea de Madrid, reunida el 9 de marzo de 2011, acordó “dar traslado a la Comisión de Medio Ambiente, Vivienda y Ordenación del Territorio, para que la Mesa de la citada Comisión, en los términos establecidos en el art. 215 del Reglamento de la Asamblea, proceda a la tramitación de la iniciativa y a la fijación de los plazos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10 de marzo de 2011 tuvo lugar sesión de la Mesa de la citada comisión (Presidente, Vicepresidente y Secretaria), a la que asistieron además los portavoces de los grupos parlamentarios en esa comisión, acordándose alterar el orden del día de la comisión convocada para el 14 de marzo siguiente, incluyendo como primer punto del orden del día la tramitación de la iniciativa que nos ocupa y en dicho acto el Letrado de la Comisión repartió la propuesta de declaración de parque nacional de las Cumbres de la Sierra de Guadarrama, el acuerdo de la Mesa de la Asamblea de Madrid de 9 de marzo de 2011 y el informe jurídico de la Secretaría General de 3 de marzo de 2011. El Portavoz del Grupo Parlamentario Socialista mostró su disconformidad con la limitación de las propuestas de resolución a una mera aceptación o rechazo globales de la propuesta según se deducía del informe del Secretario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14 de marzo de 2011 se registró en la Asamblea un escrito del Viceconsejero de Vicepresidencia y Secretario General del Consejo de Gobierno de la Comunidad de Madrid por el que se comunica, a los efectos parlamentarios procedentes, que el Director General del Medio Ambiente presentará la propuesta ante la Comisión de Medio Ambiente, Vivienda y Ordenación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y portavoces de la Comisión, el mismo 14 de marzo, y de conformidad con informe del Secretario General, acuerda “que sólo quepa presentar propuestas de resolución de los Grupos parlamentarios que supongan una aceptación o rechazo global del contenido de la Propuesta de Declaración de Parque Nacional de las Cumbres de la Sierra de Guadarrama, con el voto en contra del Vicepresidente”, que era diputado del Grupo Socialista. El Portavoz (en la citada comisión) del Grupo Parlamentario Socialista plantea un nuevo debate sobre si cabe o no delegación por parte del Consejo de Gobierno en un director general para explicar ante la Comisión la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Mesa solicitó informe jurídico sobre esa cuestión, suspendiendo la sesión y según el informe, la delegación “es viable, siempre que la Mesa de la Comisión competente decida autorizarla. Es decir, se trata de una mera propuesta que el Consejo de Gobierno formula a la Cámara, en cuyo seno es el órgano rector de la Comisión quien ostenta la competencia decisoria. Así se colige del art. 215, en relación con los arts. 213 y 209.4 RAM” y añade el informe: “Nuestro ordenamiento establece una prohibición general de delegación por parte de los órganos de las diferentes Administraciones públicas de los asuntos que se refieren a la relación con las Cortes Generales y las Asambleas Legislativas de las Comunidades Autónomas [art. 13 a) de la Ley 30/1992, de 26 de noviembre]. Excepción a dicha interdicción es la regla, generalmente afirmada en el derecho parlamentario, por la que se admite que los miembros del Consejo de Gobierno deleguen su intervención en los debates parlamentarios que se celebren en Comisión. Así, en el ámbito de la Asamblea de Madrid, el art. 209.4 prescribe que ‘los miembros del Consejo de Gobierno podrán delegar cada comparecencia ante la comisión correspondiente en los altos cargos de sus respectivos departamentos, previa autorización concedida al efecto por la Mesa de la Comisión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informe de los servicios jurídicos de la Asamblea concluye reconociendo que existen precedentes en los que un plan o comunicación del Consejo de Gobierno han sido sustanciados compareciendo, por delegación, un alto cargo de la Consejería, no un miembro del Consejo de Gobierno y detalla a continuación alguno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reanudación de la sesión, y en la línea del informe jurídico, se admitió la delegación comunicada por el Consejo de Gobierno con los votos a favor del Presidente y la Secretaría de la Mesa y en contra del Vicepresidente.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También el mismo día 14 de marzo se celebró la reunión de la Comisión y consta en el acta 34-2011 que se inició, según prevé el art. 213 RAM (el art. 215.2 RAM remite en cuanto al debate en comisión de las comunicaciones del Consejo de Gobierno a lo previsto en los arts. 213 y 214 RAM), con un debate sustanciado con la intervención sucesiva del Consejo de Gobierno (del Director General del Medio Ambiente, por delegación), de un representante de cada grupo parlamentario, del Consejo de Gobierno para contestar a los grupos parlamentarios de forma global, de los representantes de los grupos parlamentarios para replicar y, finalmente, del Consejo de Gobierno para cerrar el debate. Terminado el debate, en los términos del art. 214.1 RAM, se abrió un plazo para que los grupos parlamentarios presentasen propuestas de resolución ante la Mesa de la Comisión, que admitió a trámite la del Grupo Parlamentario Popular (de aceptación global) y la del Grupo Parlamentario de Izquierda Unida (de rechazo total) por ser “congruentes con la materia objeto de la comunicación” (art. 214.2 RAM) e inadmitió la registrada por el Portavoz en la Comisión del Grupo Parlamentario Socialista (de modificación) expresando éste su disconformidad diciendo que “las propuestas deben ser debatidas” (“Diario de Sesiones de la Asamblea de Madrid” núm. 850-14 de marzo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sostiene que los acuerdos de la Mesa de la Comisión de Medio Ambiente, Vivienda y Ordenación del Territorio adoptados en su sesión de 14 de marzo de 2011 lesionan el derecho fundamental consagrado en el art. 23.2 CE, en relación con los arts. 213 a 215 RAM y subraya, en primer lugar, que es doctrina constitucional que dicho derecho no se agota en el acceso al cargo sino que abarca el ejercicio de la función representativa (STC 32/1985, de 6 de marzo), y que este ius in officium es de configuración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subraya la demanda que respecto de los preceptos que sirven de base a los acuerdos en que se centra la lesión, art. 213 RAM, al que remite el art. 215 RAM, “no está prevista delegación alguna por parte del Consejo de Gobierno de su comparecencia en comisión”, y que la lesión se produce “máxime si la delegación no existe, como es el caso (ausencia de acuerdo expreso para dicha delegación)”. La demanda concluye reconociendo que “la delegación realizada tendente a impedir el debate parlamentario con el Consejo de Gobierno en el procedimiento establecido por el art. 212 y ss. RAM vulnera 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otro acuerdo, luego de copiar el art. 214 RAM, la demanda afirma que, según ese precepto, “las propuestas de resolución que los grupos presenten no han de ser de aceptación o rechazo. La inadmisión por esa razón de la propuesta planteada por mi mandante vulnera el derecho fundamental de acceso al cargo previsto en el art. 23.2 CE. De igual manera se produce vulneración por haber sido rechazada, la propuesta de resolución, por no resultar congruente con la materia objeto de la comunicación. Se desprende claramente de su contenido que sí era congruente y, por el contrario, ninguna explicación se ofrece que permita fundar la legalidad del acuerdo por dicha razón”.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parte recurrente, además y con alusión a las STCC 70/2009 y 155/2009, el asunto reviste especial transcendencia constitucional exigida como requisito de procedibilidad. Primero porque, aunque el Tribunal haya dictado sentencias sobre la relación entre el ius in officium de los parlamentarios y los actos de las Mesas de las Cámaras, este caso presenta novedades, pues se trata de una interpretación abiertamente contraria al Reglamento y que restringe el debate y condiciona las propuestas de resolución, aparte de enfocar cuestiones nuevas para la jurisprudencia constitucional como la falta de legitimación para delegar la intervención del Consejo de Gobierno ante la Comisión y la vulneración de la prohibición general de delegación ex art. 13.2 a) de la Ley 30/1992, de 26 de noviembre, de régimen jurídico de las Administraciones públicas y del procedimiento administrativo común (LPC).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recurso suscita una cuestión jurídica que tiene “consecuencias políticas generales”. Así, en tanto amparo parlamentario, dado que no hay cauce de tutela ante la jurisdicción ordinaria, el recurso de amparo aparece como el único remedio posible, de modo que negar el acceso a él equivale a afirmar que hay áreas de ejercicio de poder público ajenas por completo a los principios constitucionales de control jurisdiccional, por lo que decidir sobre este caso permitiría al Tribunal Constitucional fijar el alcance de la potestad que el art. 215 RAM atribuye a las mesas de las comisiones y acabar así con un alto grado de indefinición, y por tanto de arbitrariedad, que deja a la voluntad de la mayoría la aplicación de dicha norma procedimental.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en cuanto a la legitimación, aparte de que en el encabezamiento las actoras dicen promover el recurso como “Diputadas y en su calidad de miembros del Grupo Parlamentario Socialista en la Asamblea de Madrid”, en los fundamentos de derecho de orden procesal afirman que “conforme al art. 46.1 a) LOTC, está legitimada para interponer el recurso de amparo ‘la persona directamente afectada’, esto es, los miembros del Grupo Parlamentario proponente”.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del Tribunal Constitucional acordó, por providencia de 13 de febrero de 2012, la admisión a trámite del recurso de amparo promovido contra los acuerdos de la Comisión de Medio Ambiente, Vivienda y Ordenación del Territorio adoptados en su reunión de 14 de marzo de 2011 y, de conformidad con el art. 51 de la Ley Orgánica del Tribunal Constitucional (LOTC), dirigir atenta comunicación a la Presidenta de la Asamblea de Madrid para que, en el plazo de diez días, remitiera testimonio de las actuaciones del expediente administrativo relativo a los citados acuerdos, acompañándose copia de la demanda de amparo para conocimiento de la referida comisión a efectos de la personación de la Cámara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 de marzo de 2012 tuvo entrada en el Registro General de este Tribunal testimonio del acuerdo de la Mesa de la Asamblea de Madrid, de 27 de febrero de 2012, que disponía dar traslado al Tribunal Constitucional de la fotocopia adverada del expediente solicitado y acordaba personarse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 La Secretaría de Justicia de la Sala Primera de este Tribunal, por diligencia de ordenación de 6 de marzo de 2012, tuvo por recibidos los testimonios de las actuaciones remitidos por la Asamblea de Madrid y por personados a los Letrados de la misma. Asimismo, a tenor de lo dispuesto en el art. 52 LOTC, se acordó dar vista de las actuaciones por un plazo común de veinte días al Ministerio Fiscal y a las partes personadas, para que dentro de ese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recurrentes en amparo presentaron sus alegaciones en el Registro General de este Tribunal el 11 de abril de 2012, insistiendo en que la decisión de la Comisión de Medio Ambiente, Vivienda y Ordenación del Territorio “se ha realizado a partir de una interpretación restrictiva de los derechos de los parlamentarios y abiertamente contraria al Reglamento de la Asamblea de Madrid, impidiendo la existencia del debate imprescindible anterior a la adopción del acuerdo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Letrados de la Asamblea de Madrid, en escrito registrado en este Tribunal el 16 de abril de 2012, alegan, en primer lugar, varias causas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Extemporaneidad, pues dado que el plazo de interposición es de tres meses (42 LOTC) y que los acuerdos recurridos son de 14 de marzo, el recurso es extemporáneo, ya que “según el sello que figura en su primera página, tiene fecha de Registro General de ese Tribunal Constitucional de 22 de junio. Y sería extemporáneo aún en el supuesto de que la fecha que a renglón seguido se indica en el propio sello del Registro de Entrada, fuera relevante, pues es el anterior 15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Falta de legitimación activa en las actoras. En su escrito transcriben íntegros los fundamentos jurídicos 3 y 4 de la STC 98/2009, de 27 de abril, que subrayaba: “aunque entre los citados catorce Diputados solicitantes se encuentra quien a la sazón era el Portavoz del Grupo Socialista y en el encabezamiento del presente recurso de amparo figura subrayada dicha condición de Portavoz del citado grupo parlamentario, en ningún momento, ni en sede parlamentaria ni en la demanda rectora de este proceso constitucional, se ha alegado sin embargo que el citado Diputado actuara entonces y haya actuado ahora ante este Tribunal en nombre y representación del citado grupo parlamentario o en representación de los restantes Diputados firmantes de la solicitud de convocatoria y comparecencia consideradas”. Para los servicios jurídicos de la Asamblea de la Comunidad de Madrid, la condición de las demandantes de amparo que está también subrayada en el encabezamiento de la presente demanda de amparo al igual que en el supuesto de la STC 98/2009, “es una circunstancia meramente adjetiva y carente de consecuencias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esa doctrina a este caso, entiende la defensa jurídica de la Asamblea de Madrid que las firmantes del recurso que eran, respectivamente, la Portavoz y la Portavoz Adjunta del Grupo Parlamentario Socialista en la Asamblea de Madrid al tiempo de adoptarse los acuerdos recurridos, ni siquiera invocan dicha condición al formalizar la acción ante este Tribunal, como tampoco dicen actuar en nombre y representación de ese grupo parlamentario o de los diputados del mismo miembros de la comisión en la que se sustanció la iniciativa considerada.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parte estima relevante que, mientras la condición de Portavoz del Grupo Socialista lo fue durante la VIII Legislatura, este recurso se formalizó una vez disuelta la Cámara e incluso cuando la constitución formal del Grupo Parlamentario Socialista de la Asamblea de Madrid de la IX Legislatura ya se había producido por Acuerdo de la Mesa de la Cámara en sesión del día 13 de junio de 2011. Este nuevo grupo parlamentario es bien distinto del de la VIII Legislatura como lo demuestra, entre otras cosas, que de los seis diputados miembros del Grupo Parlamentario Socialista de la VIII Legislatura que asistieron a la sesión de la Comisión sólo tres forman parte también del Grupo Parlamentario Socialista de la IX Legislatura. Presupuesto lo anterior, esto es, que no está acreditada la actuación en representación del grupo parlamentario ni de los diputados socialistas integrantes de la Comisión, la defensa jurídica de la Asamblea sostiene que las firmantes promueven el recurso a título individual, siendo por tanto determinante que, conforme se acredita por la certificación de la correspondiente unidad administrativa que adjuntan a su escrito de alegaciones, ninguna de ellas fue miembro de la comisión en la que se sustanció la iniciativa gubernamental y durante cuyo desarrollo, según la demanda, se produjo la violación del art. 23.2 CE consistente en impedir el debate con el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se solicita la inadmisión porque las recurrentes no levantan la carga que les incumbe de justificar que este Tribunal haya de decidir este recurso en razón de su especial transcendencia constitucional, pues en cuanto a la novedad que las actoras alegan que subyace en este asunto, la doctrina fijada por el Tribunal en la delimitación del ius in officium de los parlamentarios en relación a la función de calificación y admisión a trámite de las mesas de las Asambleas resulta más que suficiente para resolver la cuestión suscitada, sin que sea relevante al efecto que este recurso se dirija contra acuerdos de la Mesa de una comisión, pues pueden reputarse sus funciones en todo punto análogas a las de la Mesa de la Cámara. Y frente a los elementos que, según la demanda, justificarían el pronunciamiento del Tribunal, notan que en realidad las actoras plantean divergencias en cuanto a la interpretación del Reglamento de la Asamblea de Madrid, no sobre cómo la misma podría afectar, en un concreto caso, a una faceta de un derecho fundamental. Y otro tanto cabe decir, en su opinión, sobre la capacidad de delegación por parte de las Administraciones públicas de los asuntos referidos a las Asambleas y sobre la prohibición general de delegación ex art. 13.2 a) LPC, pues se trata de cuestiones de mera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otro lado, los servicios jurídicos de la Asamblea niegan que este recurso conlleve una cuestión que tenga “consecuencias políticas generales”, pues no se sostiene que todo amparo parlamentario, por el mero hecho de no haber tutela posible ante la jurisdicción ordinaria, sea de especial transcendencia constitucional, ya que es claro que los arts. 49 y 50.1 b) LOTC imponen a todas las categorías del recurso de amparo constitucional, sin excluir los que se articulan por el cauce del art. 42 LOTC, la necesidad de justificar aquélla en la demanda, ya que las actoras no explican cuál es la conexión lógica entre esa singularidad procesal y las consecuencias políticas generales de la cuestión jurídica planteada en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esta parte, la demanda vuelve a colocarse en el ámbito de la legalidad ordinaria al ubicar las “consecuencias políticas generales” en la posibilidad de fijar el alcance de la potestad atribuida por el art. 215 RAM y de la capacidad de delegación por parte de los órganos administrativos de sus competencias referidas a las Asambleas Legislativas, por lo que “si bien el recurso planteado por los aquí demandantes de amparo no se encuentra totalmente huérfano de esa argumentación en la mención de la especial transcendencia constitucional, la misma tampoco pone en conexión las vulneraciones constitucionales alegadas con los criterios del art. 50.1.b) LOTC”, concluyendo que es manifiesta la “confusión entre el cumplimiento de la carga de justificar la trascendencia constitucional del amparo y la exposición de las alegaciones de fondo” y, en consonancia con ello, que los motivos alegados en la demanda no son suficientes para cumplir con el presupuesto procesal consistente en justificar la “especial trascendencia constitucional” del recurso, procediendo por tanto su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cuanto al fondo del asunto, los servicios jurídicos de la Asamblea alegan que la Mesa de la Comisión al aceptar que la comparecencia del Consejo de Gobierno fuese a través del Director General de Medioambiente se ajustó al Reglamento de la Cámara y no ocasionó merma alguna a los derechos reconocidos ex art. 23.2 CE. En efecto, consta un acuerdo inicial de la Mesa de la Asamblea, máximo órgano rector de la misma (art. 48.1 RAM), apoderando a la Mesa de la Comisión para organizar la tramitación de la iniciativa conforme a lo previsto en el art. 215 RAM para los planes y programas remitidos por el Consejo de Gobierno, pues el art. 215.3 RAM dice que “sin perjuicio de lo dispuesto en los apartados anteriores, la Mesa de la Comisión competente organizará la tramitación de los programas y planes del Consejo de Gobierno y fijará los plazos de la misma”. Así, dado que los arts. 213 y 214 RAM no prohíben expresamente que el Consejo de Gobierno comparezca mediante un alto cargo del área de que se trate, es la Mesa de la Comisión, en virtud de la genérica potestad de organización derivada del 215.3 RAM, quien puede aceptar o no posibles delegaciones del acto de la 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Así, el acuerdo de la Mesa de la Comisión, en el ejercicio de las potestades nacidas del art. 215.3 RAM, entendió suficiente la remisión del escrito del Viceconsejero de Presidencia y Secretario General del Consejo de Gobierno de 11 de marzo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y frente a la tesis mantenida en el escrito de demanda, el art. 13.2 a) LPC ni forma parte de la “configuración legal” del ius in officium, que según la doctrina constitucional se materializa en los reglamentos de las Asambleas, ni puede prevalecer frente al Reglamento de la Asamblea de Madrid, que consiente, en los términos de la integración realizada por la Mesa de la Comisión, que pueda comparecer un alto cargo en comisión por delegación del miembro correspondiente del Consejo de Gobierno, lo que tiene el valor de los usos parlamentarios (STC 190/2009, FJ 4), que si bien ceden ante la norma reglamentaria sí permiten completar sus imprevisiones, primando en todo caso sobre otro tipo de preceptos legales como el art. 13.2 a) LPC.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Tampoco es cierto que se hurtase el debate parlamentario, pues éste se celebró en la sesión de la Comisión de 14 de marzo de 2011 y cumplió su doble finalidad informativa de la propuesta de declaración presentada ante la misma y de contraposición de posiciones políticas entre el Gobierno y los grupos parlamentarios representados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Otro tanto cabe decir, según esta parte, sobre la circunstancia que la Mesa de la Comisión, en uso de la potestad de organización ex art. 215.3 RAM, acordase que las propuestas de resolución hubieran de ser de aceptación o rechazo global, pues, como razonó el Secretario General en su informe de 3 de marzo de 2011, que a su vez cita la Mesa como fundamento de su decisión, “dado que se trata de una propuesta común de las Comunidades afectadas, el contenido de las propuestas de resolución habrán de ceñirse a la aprobación o rechazo en bloque de la iniciativa, de forma análoga a lo previsto en el art. 179.5 RAM sobre autorización de acuerdos o convenios de cooperación”, resaltando que la identidad de razón que justifica la analogía es que ambas iniciativas exigen, de un lado, el concierto de voluntades de al menos dos Comunidades Autónomas y, de otro, que concurra con ese acuerdo la voluntad de las Cortes Generales, autorizando o recibiendo sin objeción el convenio de cooperación en un caso y, en el otro, tramitando como proyecto de ley en los términos del art. 10 de la Ley 5/2007 la propuesta conjunta de las Comunidades Autónomas afectadas de que se declare un espacio natural como parque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una vez sentado que se ajusta al reglamento este acuerdo sobre la forma de la propuesta de resolución a presentar por los grupos parlamentarios, es evidente que, habida cuenta que el art. 214.2 RAM dispone que la Mesa de la Comisión “admitirá a trámite únicamente aquellas que sean congruentes con la materia objeto de la comunicación”, la decisión de inadmitir la registrada por el Grupo Socialista porque al no ser de aceptación o rechazo global es incongruente, es acorde con el reglamento y, por ello, no lesiona ninguna de las facetas de los derechos alegados por las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Estas alegaciones formuladas por la defensa jurídica de la Asamblea Legislativa terminan con dos afirmaciones complementarias.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que “aunque a efectos puramente dialécticos sostuviéramos que se hubiera producido una infracción de dicha norma, necesariamente habríamos de negar que la misma haya afectado al núcleo de la función representativa protegido por el art. 23 CE”, pues la presentación de propuestas de resolución sobre un plan del Gobierno no figura entre las facultades que este Tribunal ha identificado como integrantes de ese núcleo, ya que, “a diferencia de todas las categorías de iniciativas parlamentarias que aparecen en tal listado, esas propuestas de resolución son vicariales o subsidiarias de una iniciativa de la que sería autor el Gobierno y que éste habría presentado con anterioridad”. De ahí que la Mesa de la Comisión disponga de las potestades de “vigilancia de la congruencia material y formal de las propuestas de resolución con la propuesta de declaración planteada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que “debemos negar igualmente que haya existido arbitrariedad en esos Acuerdos, a la vista de que la argumentación contenida en los Informes jurídicos citados, los cuales obran en el expediente, sirvió en todo momento de motivación a aquéllos, respaldándolos conforme a la interpretación que efectuaban del Reglamento y a los precedentes parlamentarios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que registró sus alegaciones en este Tribunal el 23 de abril de 2012, solicita el otorgamiento del amparo sobre la base de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cita extensa de la STC 57/2011, sintetiza la doctrina constitucional sobre el derecho invocado por las recurrentes (el recogido en el art. 23.2 CE en relación al art. 23.1 CE), resaltando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sólo garantiza el acceso igualitario a las funciones y cargos públicos, sino también su desempeño de conformidad con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trata de un derecho de configuración legal, configuración que se efectúa en los reglamentos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cualquier acto que infrinja la legalidad del ius in officium lesiona el derecho fundamental, pues sólo poseen relevancia constitucional a estos efectos los derechos o facultades que pertenezcan al núcleo de la función representativa parlamentaria, como son, indudablemente, el ejercicio de la función legislativa o el de control de la acción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impone el deber de motivar las decisiones que limiten tal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contraposición al informe del Secretario General de la Asamblea, según el que la propuesta de resolución habría de ser necesariamente de rechazo o aceptación global en recta analogía con el art. 179.5 RAM (integrado en su título IX sobre “Convenios y Acuerdos de cooperación de la Comunidad de Madrid”), el Fiscal califica la naturaleza de lo que era objeto de tramitación en la Asamblea de Madrid diciendo que “estamos en presencia de una iniciativa legislativa que corresponde a la Comunidad Autónoma, y que requiere, para su posterior tramitación como proyecto de ley en Las Cortes Generales, de su aprobación por las respectivas Asambleas Legislativas. Esta posibilidad de iniciativa legislativa de la Asamblea de Madrid no es desconocida por su Reglamento, en cuyo título VIII, bajo la rúbrica ‘De la solicitud al Gobierno de la adopción de Proyectos de Ley y de la remisión al Congreso de los Diputados de proposiciones de Ley’ contiene un procedimiento parlamentario a tal efecto. (arts. 175 a 177 RAM)” y todo ello le lleva a sostener que “se aprecia así una semejanza sustancial entre la tramitación de la Propuesta de Declaración de Parque Nacional de la Ley 5/2007, de 3 de abril, y las solicitudes de remisión al Gobierno de Proyectos de Ley a instancia de la Asamblea, de modo que, analógicamente [dado que los arts. 213 y 214 RAM no precisan de qué tipo ha de ser la propuesta de resolución], cabría aplicar el procedimiento que prevé el Reglamento y, en consecuencia, dado que el art. 176.1 RAM remite al procedimiento legislativo común, aplicar el mismo que prevé la posibilidad de presentar enmiendas a los proyectos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sigue el Fiscal, “el contenido de la propuesta de resolución del Grupo Parlamentario Socialista evidencia la necesidad no solo de un debate, sino de que las modificaciones, adicciones o supresiones a la Propuesta del Consejo de Gobierno puedan ser votadas autónoma y aisladamente”, y concluye reconociendo, a raíz de los razonamientos anteriores, que no conteniendo límite alguno los arts. 213 a 215 RAM, que fue el procedimiento elegido por la Comisión para la tramitación de la propuesta, la interpretación realizada por la Mesa de la Comisión, fundada en el informe del Secretario General de 3 de marzo de 2011, es restrictiva para el ejercicio del ius in officium que asiste a los diputados miembros de la Comisión de modo que impide el ejercicio pleno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segundo de los acuerdos pretendidamente lesivos, el Fiscal afirma que, dado que los arts. 213 y 214 RAM no se refieren a delegación alguna por parte del Consejo de Gobierno, una interpretación gramatical de la norma reglamentaria da la razón al recurrente, pero una interpretación sistemática de la normativa reglamentaria permitiría llegar a concluir que sería aplicable el art. 209.4 RAM que permite, en relación con la comparecencia de los miembros del Consejo de Gobierno ante las comisiones, “delegar cada comparecencia ante la comisión correspondiente en los altos cargos de sus respectivos departamentos, previa autorización concedida al efecto por la Mesa de la Comisión competente”. No obstante, el Fiscal acaba descartando que esa analogía quepa en este caso al tratarse el objeto del debate de una iniciativa legislativa y no de una mera pregunta oral efectuada a un miembro del Consejo de Gobierno, con lo que falta la necesaria identidad de razón.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todo caso, el Fiscal expone que la prohibición de delegación, ex 13.2 a) LPC, pugna con la autonomía de las Cámaras Legislativas para regular su propio funcionamiento y constata que esta clase de delegaciones no son ajenas a ninguno de los Reglamentos de las Asambleas Legislativas. A pesar de ello, sigue diciendo, en este caso la naturaleza de iniciativa legislativa del acto sometido a votación y la transcendencia del debate “impone que sean los órganos políticos que asumieron y tramitaron la propuesta ante la Asamblea Legislativa quienes respondan las preguntas y objeciones de los diferentes Grupos Parlamentarios presentes en la Comisión, esto es, el miembro correspondiente del Consejo de Gobierno, de modo que la aplicación e interpretación de la normativa reglamentaria por la Mesa de la Comisión, en su Acuerdo de 14 de marzo de 2011, no ha sido la más favorable a la eficacia de las facultades que se integran en el ius in officium de los hoy recurrentes”. No son obstáculo a ello, termina diciendo el Fiscal, “los distintos precedentes parlamentarios de delegación de miembros del Consejo de Gobierno para comparecer ante las Comisiones a los que se refiere el informe de la Secretaría General de 14 de marzo de 2011, pues los mismos en cuanto usos parlamentarios, sin perjuicio de encontrar en el mismo reglamento su límite, no pueden impedir u obstaculizar desproporcionadamente las facultades reconocidas a los parlamentarios en el ejercicio de sus funciones constitucionalmente garantizadas (STC 57/2011,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27 de septiembre de 2012 se señaló para deliberación y fallo de la presente Sentencia el día 1 de octubre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promueve por doña Carmen Menéndez González-Palenzuela y doña Rosa María Alcalá Chacón, “Diputadas y en su calidad de miembros del Grupo Parlamentario Socialista en la Asamblea de Madrid”, contra los acuerdos de la Mesa de la Comisión de Medio Ambiente, Vivienda y Ordenación del Territorio de dicha Asamblea de 14 de marzo de 2011, que dispusieron, de un lado, aceptar que el Consejo de Gobierno de la Comunidad de Madrid delegase en el Director General de Medio Ambiente la comparecencia sobre la propuesta de declaración del parque nacional de las Cumbres de la Sierra de Guadarrama y, de otro, que las propuestas de resolución sobre la cuestión hubieran de ser de aceptación o rechazo global, inadmitiendo por ello la propuesta de modificación registrada por el Grupo Socialista y el recurso de amparo se promueve por la vía del artículo 42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posiciones de las partes, expuestas en los antecedentes, son, sintéticamente,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recurrentes consideran que los acuerdos impugnados, con desconocimiento de los términos en que los arts. 213 a 215 del Reglamento de la Asamblea de Madrid (RAM) configuran el ius in officium, impiden el debate parlamentario, bien porque lo reducen a aceptar o rechazar globalmente una propuesta, bien porque imposibilitan que el debate se produzca con el Consejo de Gobierno, lesionando así el derecho fundamental de los parlamentarios al ejercicio de las funciones y cargos públicos representativos con los requisitos que señalen las leyes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Letrados de la Asamblea de Madrid instan la inadmisión de este recurso de amparo por extemporáneo, por falta de legitimación de las actoras y porque, en su criterio, los razonamientos consignados al efecto en la demanda no son suficientes para levantar la carga de justificar la especial transcendencia constitucional que reviste este asunto. Subsidiariamente, en virtud de los argumentos detallados en los antecedentes, solicitan la desestimación íntegra de los motivos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Ministerio Fiscal nada dice de los óbices procesales suscitados por la representación de la Asamblea de Madrid y entiende que se “habría vulnerado el derecho de los recurrentes del art. 23.2 CE”. El Fiscal califica la naturaleza de lo que era objeto de tramitación en la Asamblea de Madrid como un supuesto de iniciativa legislativa, de donde deriva, de un lado, que es aplicable el art. 176.1 RAM que remite al procedimiento legislativo común con su posibilidad de presentar enmiendas y, de otro, que, aunque en otros casos fuese posible la delegación de la comparecencia del Consejo de Gobierno en un director general, en éste no lo sería por la transcendencia de lo que discute.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examinar el fondo de las cuestiones planteadas en la demanda es necesario verificar la concurrencia de los presupuestos procesales para la viabilidad del recurso, en particular aquellos respecto de los que los Letrados de la Asamblea de Madrid formulan objeciones.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análisis no encuentra obstáculo en el momento procesal en que nos hallamos, pues, según este Tribunal ha declarado repetidamente “los defectos insubsanables de que pudiera estar afectado el recurso de amparo no resultan sanados por que la demanda haya sido inicialmente admitida, de modo que la comprobación de los presupuestos procesales para la viabilidad de la acción puede siempre abordarse en la Sentencia, de oficio o a instancia de parte, pudiendo dar lugar a un pronunciamiento de inadmisión por falta de tales presupuestos, sin que a ello sea obstáculo el carácter tasado de los pronunciamientos previstos en el art. 53 LOTC” (por todas, SSTC 7/2007, de 15 de enero, FJ 2; 242/2007, de 10 de diciembre, FJ 2; y 43/2008, de 10 de marzo; FJ 2; 28/2011, de 14 de marzo, FJ 3; 29/2011 de 14 de marzo, FJ 3; y 69/2011, de 16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juicio de la representación de la Asamblea de Madrid, dado que el plazo de interposición es de tres meses (42 LOTC) y que los acuerdos recurridos son de 14 de marzo, el recurso es extemporáneo, pues, “según el sello que figura en su primera página, tiene fecha de Registro General de ese Tribunal Constitucional de 22 de junio. Y sería extemporáneo aún en el supuesto de que la fecha que a renglón seguido se indica en el propio sello del Registro de Entrada, como ‘Otros’, fuera relevante, pues es el anterior 15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que, a falta de previsión reglamentaria de un recurso de reposición, los acuerdos impugnados son firmes desde el mismo día 14 de marzo, resulta evidente que la entrada en el Registro General de ese Tribunal Constitucional el 22 de junio está fuera del plazo de tres meses previsto en el art. 42 LOTC, de donde se sigue que lo determinante para decidir sobre este óbice es si ha de reconocerse alguna relevancia al sello que atestigua que el 15 de junio anterior se presentó la demanda en el servicio de registro central de los Tribunales civiles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28/2011, de 14 de marzo, recapitula la doctrina constitucional sobre la cuestión, señalando que tanto antes como después de la reforma de la Ley Orgánica de este Tribunal operada por la Ley Orgánica 6/2007, de 24 de mayo, la regla es la presentación de la demanda de amparo en la sede de este Tribunal, admitiéndose solo como excepción la posibilidad de presentarla en otro lugar, excepción que la redacción vigente de la Ley Orgánica del Tribunal Constitucional regula de un modo preciso en su art. 85.2, según el que “los recursos de amparo podrán también presentarse hasta las 15 horas del día hábil siguiente al del vencimiento del plazo de interposición, en el registro del Tribunal Constitucional, o en la oficina o servicio de registro central de los tribunales civiles de cualquier localidad, de conformidad con lo establecido en el artículo 135.1 de la Ley 1/2000, de 7 de enero,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Constando que el sello de 15 de junio de 2011 es del servicio de registro central de los Tribunales civiles de Madrid, lo único que queda por examinar para concluir que se dan las circunstancias que hacen entrar en juego la excepción referida es si dicho día 15 de junio era el “día hábil siguiente al del vencimiento del plazo de interposición”. Partiendo de que el art. 80 LOTC prevé la aplicación supletoria de los preceptos de la Ley Orgánica del Poder Judicial (LOPJ) en materia de cómputo de plazos y que a su vez el art. 185 LOPJ remite a la regulación de este extremo que hace el Código civil (CC) el corolario necesario es que un plazo fijado por meses, como es el previsto en el art. 42 LOTC para promover un amparo parlamentario, se computa de fecha a fecha (art. 5.1 CC), regla de cómputo en la que el día del vencimiento será el correlativo mensual al de la notificación o publicación y en este caso la comunicación de los acuerdos impugnados se produjo el día 14 de marzo de 2011 y el día de vencimiento del plazo de tres meses para promover el recurso de amparo sería el 14 de junio de 2011, de modo que el 15 de junio de 2011 sí es el “día hábil siguiente al del vencimiento del plazo de interposición”, lo que nos conduce a afirmar que la demanda de amparo se presentó en lugar y tiempo oportunos y, en consecuencia, a rechazar el primero de los óbices procesales que suscitan los Letrados de la Asamblea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de los óbices procesales alegados, a juicio de la representación de la Asamblea de Madrid, consiste en subrayar que las Diputadas actoras carecen de legitimación para promover este recurso de amparo. Para resolver sobre esta cuestión, tal y como argumentan en su escrito de alegaciones los Letrados de dicha Asamblea, es de la mayor relevancia el análisis de la doctrina constitucional establecida en la STC 98/2009, de 27 de abril, pues en aquel asunto los recurrentes eran cuatro diputados, entre los que se encontraba quien a la sazón era el Portavoz del Grupo Socialista, condición que además aparecía subrayada en el encabezamiento del recurso de amparo. Sin embargo, resalta esta Sentencia, en ningún momento se alegó que el citado diputado actuase “ante este Tribunal en nombre y representación del citado grupo parlamentario o en representación de los restantes diputados firmantes de la solicitud de convocatoria y comparecencia consideradas”, lo que le lleva a “concluir que la condición del demandante de amparo, de Portavoz del Grupo Socialista, que está también subrayada en el encabezamiento de la presente demanda de amparo, es una circunstancia meramente adjetiva y carente de consecuencias jurídicas” (FJ 3), de modo que su intervención como demandante de amparo ha de entenderse a título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presente caso las Diputadas señora Menéndez y señora Alcalá ostentaban al tiempo de adoptarse los acuerdos recurridos la condición respectiva de Portavoz y Portavoz Adjunta del Grupo Parlamentario Socialista en la Asamblea de Madrid. Ahora bien, no sólo no invocan dicha condición al formalizar la acción ante este Tribunal sino que, además, a la luz de la doctrina fijada en la citada STC 98/2009, en ningún momento dicen disponer de un apoderamiento que les permita actuar ante este Tribunal en nombre y representación de ese grupo parlamentario o de los diputados del mismo miembros de la comisión en la que se sustanció la iniciativa considerada, pues las Diputadas recurrentes se limitan a decir, tanto en el encabezamiento del recurso de amparo como en el apartado donde razonan sobre su legitimación, que promueven el recurso de amparo en “su calidad de miembros del Grupo Parlamentario Socialista en la Asamblea de Madrid”. De lo anteriormente razonado, y sin necesidad de entrar en la vexata quaestio de si los grupos parlamentarios subsisten o no una vez disueltas las Cámaras, no cabe sino concluir que las Diputadas señora Menéndez y señora Alcalá promueven el presente recurso de amparo a título individual, y partiendo de esta premisa hemos de examinar si concurre en ellas la necesaria legitimación ad causam, que según el art. 46.1 LOTC viene determinada por ser “persona directamente afectada”, basándonos en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tal como se detalló en los antecedentes, en aplicación de los arts. 213 y 214 RAM, a los que remite el art. 215.2 RAM, la intervención en el debate mantenido con el representante del Consejo de Gobierno estuvo a cargo de un portavoz de cada grupo parlamentario y, al finalizar el debate, la presentación de propuestas de resolución también correspondió a los grupos parlamentarios a través de sus portavoces, de donde se sigue que es el Grupo Parlamentario Socialista en la Asamblea de Madrid el que, desde esta óptica, es la persona directamente afectada por las decisiones de la Mesa de la Comisión de Medio Ambiente, Vivienda y Ordenación del Territorio, al aceptar que la comparecencia del Consejo de Gobierno se realizó mediante el Director General de Medio Ambiente y ser las propuestas de resolución obligatoriamente de aprobación o rechazo global, inadmitiendo en consecuencia la de modificación registrada por el portavoz de aquel grupo.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Diputadas recurrentes, a pesar de ser miembros del Grupo Socialista, actuaron ante este Tribunal a título individual y no como representantes del mismo, por lo que carecen de la conexión de interés jurídico con la materia objeto de impugnación que es imprescindible conforme al art. 46.1 LOTC para que les reconozcamos legitimación para sostener este recurso de amparo. En efecto, la sola condición de miembros de un grupo parlamentario no es suficiente para arrogarse la defensa de los derechos del grupo a que pertenecen, pues de lo contrario cada uno de los diputados de un grupo sería titular de una facultad impugnatoria que podría ejercitar individualmente, incluso en contra de la posible voluntad de los otros diputados del mismo grupo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punto, es doctrina constante de este Tribunal (por todas, las SSTC 42/1985, de 15 de marzo; 150/1990, de 4 de octubre; 98/2009, de 27 de abril y AATC 56/1999, de 9 de marzo y 244/2000 de 17 de octubre) que sólo la actuación unitaria de quienes dieron lugar a la constitución de la agrupación puede expresar válidamente su voluntad en el curso del correspondiente proceso, por lo que cada diputado no es titular de la facultad impugnatoria de la que puede disponer individualmente para pretender cuestionar por separado la decisión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 cierto que a cada uno de los diputados que formaban parte de la Comisión de Medio Ambiente, Vivienda y Ordenación del Territorio, les asistía el derecho de votar a favor o en contra de las propuestas de resolución que, terminado el debate con el representante del Consejo de Gobierno, presentasen los portavoces de los grupos parlamentarios, pero el dato determinante es que, conforme se acredita por la certificación aportada por la representación de la Asamblea de Madrid junto a su escrito de alegaciones, ninguna de las dos Diputadas recurrentes fue miembro de la Comisión en la que se sustanció la iniciativa gubernamental y durante cuyo desarrollo, según la demanda, se produjo la violación del art. 23.2 CE consistente en impedir el debate con el Consejo de Gobierno y restringir las propuestas de resolución que cabía presentar.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todo ello, las recurrentes, dado que ni eran miembros de tal comisión ni alegan disponer de apoderamiento de uno o varios de los diputados que sí lo fueron que les permitiera actuar en su nombre, carecían de la necesaria legitimación para recurrir ante este Tribunal las decisiones de la Mesa de la Comisión de Medio Ambiente, Vivienda y Ordenación del Territorio que son objeto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razonamientos expuestos conducen a estimar que no concurre uno de los presupuestos procesales imprescindibles para la viabilidad de la acción, concretamente la legitimación de las recurrentes, por lo que procede inadmitir el presente recurso de amparo y no entrar a considerar las alegaciones de fondo que plantea.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recurso de amparo promovido por doña Carmen Menéndez González-Palenzuela y doña Rosa María Alcalá Chacón.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octubre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