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7852-2009, promovido por don Jesús Vela Martínez, representado por la Procuradora de los Tribunales doña María Luz Galán Cia, contra el Auto de la Sala de lo Penal del Tribunal Supremo de 25 de junio de 2009 que declaró la inadmisión a trámite del recurso de casación presentado contra el Auto de la Sección Tercera de la Audiencia Provincial de Pontevedra de 4 de septiembre de 2008 en la ejecutoria 41-1998, rollo 3-1994. Han intervenido, don Pedro Fernández Sanromán —acusación particular en el procedimiento penal del que deriva el presente recurso—, representado por la Procuradora de los Tribunales doña Silvia Barreiro Teijeiro, y el Ministerio Fiscal.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septiembre de 2009 don Jesús Vela Martínez, representado por la Procuradora de los Tribunales doña María Luz Galán Cia, presentó en el Registro General de este Tribunal recurso de amparo contra las resoluciones a las que se ha hecho mención en el encabezamiento de esta Sentencia por entender que las mismas vulneran, de un lado, el derecho fundamental a la tutela judicial efectiva por infringir el principio de seguridad jurídica (invocando a tal efecto los arts. 24.1 y 9.3 CE); de otro, el derecho a la libertad personal en relación con los principios de reeducación y reinserción social a los que deben estar orientadas las penas privativas de libertad (invocando para ello los arts. 17 y 25.2 CE); y, finalmente, 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—funcionario del Cuerpo Nacional de Policía en situación de segunda actividad— fue condenado, junto con otra persona, mediante Sentencia núm. 22/1996, de 24 de junio de 1996, dictada por la Sección Tercera de la Audiencia Provincial de Pontevedra (causa número 1-1994, rollo 3-1994, procedente del Juzgado de Instrucción de Vigo núm. 4) como autor de seis delitos de detención ilegal —con la agravante genérica prevista en el número 16 del artículo 10, en relación con la regla segunda del artículo 61 del Código penal (CP)—; de un delito de robo con homicidio —con las circunstancias agravantes previstas en los números 1, 10 y 16 del artículo 10, en relación con la regla segunda del artículo 61 del Código penal—; de tres delitos de asesinato —con las agravantes previstas en los números 10 y 16 del artículo 10, en relación con la regla segunda del artículo 61 del Código penal—; de dos delitos de homicidio, en grado de tentativa, —con las agravantes previstas en los números 10 y 16 del artículo 10, en relación con la regla segunda del artículo 61 del Código penal—; y de un delito de utilización ilegítima de vehículo de motor ajeno —con la agravante prevista en el número 10 del artículo 10, en relación con la regla segunda del artículo 61 del Código penal—, a las penas siguientes: por cada uno de los seis delitos de detención ilegal, a la pena de doce años y un día de reclusión menor; por el delito de robo con homicidio, a la pena de treinta años de reclusión mayor; por cada uno de los tres delitos de asesinato a la pena de treinta años de reclusión mayor; por cada uno de los dos delitos de homicidio en grado de tentativa a la pena de diez años de prisión mayor; y por el delito de utilización ilegítima de vehículo de motor ajeno a la pena de cinco meses de arresto mayor y privación del permiso de conducir por tiempo de un año. En la parte expositiva de dicha Sentencia se hacía constar expresamente: “y en cuanto a las penas impuestas, con la limitación de la regla 2ª del artículo 70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la Sala de lo Penal del Tribunal Supremo, mediante Sentencia 172/1998, de 14 de febrero de 1998, declaró, en lo aquí interesa, no haber lugar al recurso de casación interpuesto por el actor contra la anterior Sentencia de 24 de junio de 1996 dictada por la Audiencia Provincial de Pontevedra.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providencia de la Sección Tercera de la Audiencia Provincial de Pontevedra 21 de mayo de 1998 (folio 78 de las actuaciones) se aprobó la liquidación de condena practicada por el Secretario Judicial el 14 de mayo de 1998 en la causa de la que dimana la ejecutoria núm. 41-1998 (folios 74 a 78 de las actuaciones), en cuya liquidación, tras deducirse únicamente los abonos por detención (un día) y por prisión preventiva (1.519 días), se hace constar que de lo anterior resulta que el actor “deja extinguida la pena el día veinticuatro de enero del año dos mil veinticuatro”; ordenándose igualmente lo siguiente: “Remítase testimonio(s) de dicha(s) liquidación(es) al(os) Centro(s) Penitenciario(s) correspondiente(s) interesando acuse de recibo para constancia en la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obra en las actuaciones (folio 79) esta resolución fue notificada al Ministerio Fiscal en fecha 26 de mayo de 1998, haciéndose constar que “dicha resolución es firme y no es susceptible de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9 de julio de 2008 la Sección Tercera de la Audiencia Provincial de Pontevedra acordó requerir al centro penitenciario de Quatre Camins hoja de cálculo la situación penitenciaria del condenado para, una vez recibida, dar traslado de la misma, junto con la ejecutoria, al Ministerio Fiscal para que informase sobre la posible aplicación de la Sentencia del Tribunal Supremo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ficha de situación procesal penal del actor, elaborada por el citado centro penitenciario de Quatre Camins el mismo día 9 de julio de 2008 (folios 261 a 263 de las actuaciones), tras computar los abonos correspondientes a prisión preventiva y a beneficios penitenciarios, fija como fecha de cumplimiento definitivo, con el código “antiguo código”, el día 3 de agosto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Ministerio Fiscal, mediante escrito de fecha 21 de julio de 2008, informó que el contenido de la Sentencia del Tribunal Supremo 197/2006, de 28 de febrero, antes mencionada, deberá de aplicarse en toda su extensión, “de forma que determinado el máximo de cumplimiento, debemos valorar que el cómputo de los beneficios penitenciarios será realizado en cada pena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Auto de 4 de septiembre de 2008, dictado por la Sección Tercera de la Audiencia Provincial de Pontevedra, de conformidad con lo establecido en el art. 988 y 141 y demás concordantes de la Ley de enjuiciamiento criminal (LECrim), en relación con lo dispuesto en las reglas primera y segunda del art. 70 del Código penal vigente en el momento de la comisión de los hechos (de 1973), “se establece el máximo de cumplimiento de las penas impuestas en la sentencia firme dictada por esta Sección Tercera en fecha 24/06/1996 al condenado Jesús Vela Martínez en el límite de treinta años de prisión, pero computándose los beneficios penitenciarios respecto a cada una de las penas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el anterior Auto el actor interpuso recurso de casación por infracción de ley (art. 849.1 LECrim) por infracción del art. 25.2 CE, producida al haberse postergado los principios de la reinserción social y de reeducación con la adopción de una interpretación que enerva el principio de aplicación de la ley más favorable y perjudica al reo a la hora de computar los beneficios penitenciarios; por infracción del art. 24.2 CE por falta de tutela judicial efectiva, al haberse vulnerado los arts. 70.2 y 100 del anterior Código penal con ocasión de una interpretación restrictiva y errónea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la Sala de lo Penal del Tribunal Supremo de 25 de junio de 2009 se declaró “no haber lugar a la admisión del recurso de casación formalizado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el amparo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solicita el amparo constitucional por vulneración del derecho fundamental a la tutela judicial efectiva (art. 24.1 CE) por infringirse el principio de seguridad jurídica, invocando a tal efecto los arts. 9.3, 17.1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demandante de amparo que la práctica penitenciaria y la jurisprudencia que, sobre los preceptos del Código penal de 1973, debe aplicarse a los hechos aquí enjuiciados es la que existía con anterioridad a la fecha de la Sentencia condenatoria, y que únicamente podría aplicarse la posterior a la referida Sentencia en el caso de que ésta fuese más favorable. A pesar de ello, la Sentencia del Tribunal Supremo 197/2006 —dictada diez años después de la Sentencia condenatoria— ha sido aplicada a la liquidación de la condena del actor, determinando que los beneficios penitenciarios se hayan aplicado respecto de cada una de las penas impuestas y no respecto al límite máximo de su condena (treinta años). De esta manera, afirma, no puede acogerse al beneficio penitenciario de redención de penas por el trabajo establecido en el art. 100 del antiguo Código penal, que venía aplicándose sobre la condena resultante de la acumulación de penas (treinta años), creándose con ello una situación desfavorable y evidente perjuicio respecto al cómputo de los años que le faltan para salir en libertad por la aplicación de la redención de penas por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virtualidad de la nueva tendencia jurisprudencial que determina la aplicación de beneficios penitenciarios sobre cada una de las penas impuestas y no sobre el límite máximo, presenta, en su opinión, un claro efecto sancionador en la medida que supone un mayor tiempo de permanencia en prisión para el autor de una pluralidad de delitos. Esta aplicación retroactiva de la interpretación jurisprudencial del artículo 70, reglas primera y segunda y del artículo 100 del Código penal de 1973, viene, en definitiva, a contrariar el principio de seguridad jurídica (art. 9.3 CE) y a restringir, igualmente, el derecho a la libertad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solicita el amparo constitucional por vulneración del derecho a la libertad personal en relación con los principios de reeducación y reinserción social a los que deben estar orientadas las penas privativas de libertad (invocando para ello los arts. 17.1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actor que la duración de la privación de libertad depende, entre otros factores, de que la aplicación del artículo 100 del Código penal de 1973 se realice sobre cada una de las penas impuestas o sobre el límite máximo de la condena (treinta años), resultando evidente que, en el primer caso, el tiempo de privación de libertad sería mucho mayor. La aplicación retroactiva de la Sentencia del Tribunal Supremo 197/2006 viene a dejar sin efecto el referido artículo 100, pues, aunque el penado trabajase y redimirse pena, nunca cumpliría menos de treinta años. Ello supone, en su opinión, una preterición de las finalidades de las penas privativas de libertad establecidas en el art. 25.2 CE, en concreto, de la reeducación y reinserción social, puesto que, con la solución adoptada, las actividades encaminadas a la reducción de condena (y, consecuentemente, a la reinserción) se revelan como ineficaces.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considera que, con la aplicación de la doctrina sentada por la Sentencia del Tribunal Supremo 197/2006, se ha vulnerado el principio de igualdad (art. 14 CE) respecto de las liquidaciones de condena realizadas con anterioridad al año 2006 por hechos a los que se ha aplicado al antiguo Código penal. Sostiene que el cómputo de la reducción de penas por el trabajo sobre el total de la condena refundida o, como aquí acaecía, sobre el límite de los treinta años establecido en el artículo 70 del antiguo Código penal, venía siendo aplicado por todos los órganos judiciales competentes para ello con anterioridad a la referida Sentencia del Tribunal Supremo 197/2006. A tal efecto, invoca, aunque reconociendo que “en relación con temas distintos”, la Sentencia de la Audiencia Provincial de Huesca 35/2001,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a mayor abundamiento de los “razonamientos esgrimidos en los motivos de amparo”, el actor hace suyas las consideraciones y opiniones que se realizaron en el Voto particular formulado a la Sentencia del Tribunal Supremo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dicte Sentencia por la que se otorgue el amparo, anulándose el Auto de la Sala de lo Penal del Tribunal Supremo de fecha 25 de junio de 2009 y el Auto dictado por la Sección Tercera de la Audiencia Provincial de Pontevedra el 4 de septiembre de 2008, acordándose igualmente devolver las actuaciones a la Sección Tercera de la Audiencia Provincial de Pontevedra a fin de que se dicte una nueva liquidación de condena donde se determine que los beneficios penitenciarios que pudieran corresponder al actor se computen sobre el límite de la condena impuesta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por providencia de 17 de marzo de 2011, admitió a trámite la demanda y, de conformidad con lo dispuesto en el art. 51 de la Ley Orgánica del Tribunal Constitucional (LOTC), acordó dirigir atenta comunicación a la Sala de lo Penal del Tribunal Supremo y a la Audiencia Provincial de Pontevedra, a fin de que, en plazo que no excediera de diez días, remitiesen certificación o fotocopia adverada de las actuaciones correspondientes, respectivamente, al recurso de casación núm. 2-11558-2008 y a la ejecutoria núm. 41-1998 (rollo 3-1994), debiendo la Audiencia emplazar previamente a quienes hubieran sido parte en el procedimiento, a excepción del demandante de amparo, para que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Constitucional, por diligencia de ordenación de 31 de mayo de 2011, acordó tener por personado y parte en el procedimiento a la Procuradora doña Silvia Barreiro Tejeiro en nombre y representación de don Pedro Fernández Sanromán —acusación particular en el procedimiento del que deriva el presente recurso—, y dar vista de las actuaciones recibidas a las partes personadas y al Ministerio Fiscal, por plazo común de veinte días, para que de conformidad con lo dispuesto en el art. 52.1 LOTC, presentaran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evacuó el trámite de alegaciones mediante escrito registrado el 30 de junio de 2011, en el que se remite a cuanto argumentó previamente en la demanda, si bien anuda el giro interpretativo que establece la Sentencia del Tribunal Supremo 197/2006 a una apodíctica vulneración del principio de legalidad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Pedro Fernández Sanromán cumplimentó el trámite de alegaciones mediante escrito registrado el 30 de junio de 2011 en el que solicita que se desestime el recurso de amparo por entender que las resoluciones judiciales recurridas no han vulnerado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en relación con la infracción del derecho a la tutela judicial efectiva por vulneración del principio de seguridad jurídica (arts. 24.1 y 9.3 CE), señala que la Sentencia de la Sección Tercera de la Audiencia Provincial de Pontevedra de 24 de junio de 1996, que condenó al actor, establecía, en cuanto a las penas impuestas, la limitación de la regla segunda del artículo 70 del Código penal de 1973, cuya interpretación en relación con el artículo 100 del mismo texto es la cuestión sometida a debate. Considera que los argumentos de la Sentencia del Tribunal Supremo 197/1996, de 28 febrero —que estableció que el cómputo de los beneficios penitenciarios (entre los que se encuentra la redención de penas por el trabajo a que se refiere el artículo 100 del Código penal de 1973) debía hacerse sobre cada una de las penas impuestas y no sobre el límite máximo de cumplimiento de las mismas (treinta años), el cual no se convierte por ello en una nueva pena—, no han sido rebatidos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sobre la vulneración del derecho a la libertad en relación con los principios penitenciarios de reeducación y reinserción social, sostiene que la repetida Sentencia del Tribunal Supremo se limita a determinar la forma de cumplimiento de la condena total en caso de concurrencia de penas, sin que ello suponga enervar la eficacia de las redenciones obtenidas por el trabajo, ni la aplicabilidad del artículo 100 del Código penal de 1973. Antes bien, el actor es beneficiario de dos medidas compatibles: la extinción de penas por el trabajo prevista en el referido artículo 100, y el límite máximo de cumplimiento de treinta años de privación de libertad previsto en el artículo 70.2 del Código penal. Además, la interpretación sostenida por el recurrente implicaría un mismo trato punitivo con independencia del número de delitos cometidos.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cumplimentó el trámite de alegaciones mediante escrito registrado el 6 de julio de 2011, en el que solicita que se estime el recurso de amparo por entender que las resoluciones judiciales recurridas han vulnerado los derechos fundamentales de ejecución de las resoluciones judiciales en sus propios términos (art. 24.1 CE), en relación con el principio de legalidad penal (art. 25.1 CE) y de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la alegación principal del actor radica en una supuesta vulneración del derecho a la libertad personal (art. 17.1 CE) vinculado con los fines de reinserción social anejos a la pena (art. 25.2 CE). Considera que el núcleo argumentativo de la demanda de amparo pivota sobre el rechazo a que, retroactivamente, puede aplicarse la doctrina emanada de la Sentencia del Tribunal Supremo 197/2006, en relación con la aplicación de la regla segunda del art. 70 CP sobre los beneficios por la redención de penas por el trabajo, determinando la prolongación de la permanencia del reo en prisión cumpliendo las penas que les fueron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por analizar, en primer lugar, la alegación de vulneración de la tutela judicial efectiva (art. 24.1 CE), en relación con los arts. 9.3, 25.2 y 17.1 CE, por quebrantamiento del principio de legalidad penal como consecuencia de la aplicación retroactiva de una novedosa línea interpretativa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 pesar de reconocer que la norma penal no ha variado, considera que la aplicación retroactiva que realizan las resoluciones judiciales recurridas en amparo de los criterios emanados de la Sentencia del Tribunal Supremo 197/2006, de 28 de febrero, ha ocasionado un evidente perjuicio penológico al demandante que venía disfrutando de los beneficios penitenciarios de manera diferente a la exigida por la referida Sentencia del Alto Tribunal. Concretamente, la Sentencia condenatoria establecía la aplicación de la regla fijada para la refundición de penas prevenida en el art. 70.2 CP y, como consecuencia de ello, la liquidación de condena aprobada el 21 de mayo de 1998 respecto a los beneficios penitenciarios de redención de penas por el trabajo se aplicaban sobre una sola pena de treinta años de conformidad con la jurisprudencia existente en aquel momento. Por ese motivo se fijaba como fecha de licenciamiento el 24 de enero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en relación con el derecho a la intangibilidad de las resoluciones judiciales firmes, el Fiscal considera que, a priori no parece que las liquidaciones de condena puedan ser clasificadas como resoluciones judiciales de naturaleza firme e intangible, dada la extremada fluidez de la vida del cumplimiento penitenciario cuando entra en juego la institución de la redención de penas. Sin embargo, tras la cita de la STC 174/1989, de 30 de octubre, FFJJ 4 y 5, concluye que la ejecución de Sentencia y la variación interpretativa jurisprudencial de un precepto de dicha fase procesal constituye un terreno muy movedizo. Por otra parte, el conflicto entre la exigencia de mantenimiento de una resolución judicial de refundición de penas y la variación de la interpretación jurisprudencial de su núcleo duro normativo, que implica consecuencias retroactivamente perjudiciales, son cuestiones que indefectiblemente traen al debate al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tras recordar que la ejecución de la Sentencia penal debe obedecer siempre a criterios de estricta legalidad, el Fiscal considera que se ha vulnerado el derecho a la intangibilidad y a la ejecución de las resoluciones judiciales firmes como parte integrante del derecho a la tutela judicial efectiva contemplado en el art. 24.1 CE, y ello en la medida en que la liquidación de condena de 14 de mayo de 1998, que fijó los criterios para la ejecución de condena conteniendo en su seno una interpretación concreta de la normativa sobre refundición de condenas, ha sido modificada posteriormente en atención a una nueva interpretación emanada de la decisión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con cita de doctrina de este Tribunal Constitucional y del Tribunal Europeo de Derechos Humanos, el Fiscal argumenta que el derecho a la tutela judicial efectiva tiene engarce con el principio de legalidad penal (art. 25.1 CE) en relación con la irretroactividad de las normas penales perjudiciales para el reo (art. 9.3 CE), al integrarse dentro del complejo de legalidad la irretroactividad tanto de las propia normas, como de su interpretación desfavorable al reo. En su opinión, las resoluciones judiciales recurridas en el presente recurso de amparo han alterado el devenir del cumplimiento de la pena impuesta mediante la creación ex novo de un nuevo marco paranormativo que ha causado una extensión de la fecha de licenciamiento del interno y una revisión en la aplicación de los beneficios de la redención de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infringido el Fiscal el derecho a la libertad personal (art. 17.1 CE) por cuanto la fecha de licenciamiento definitivo lo sería en fecha muy posterior como consecuencia de esa nueva desfavorable interpretación de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rechaza la vulneración del derecho de igualdad (art. 14 CE), pues el término de comparación que se ofrece tiene tal carácter de indeterminación que en modo alguno puede servir de término de comparación a los afectos del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 todo ello no puede ser, a su juicio, más que la estimación del presente recurso de amparo por vulneración del derecho a la intangibilidad de las resoluciones judiciales (art. 24.1 CE), en relación con el principio de legalidad penal en relación, a su vez, con la irretroactividad de lo desfavorable para el reo (art. 25.1 en relación con el art. 9.3 CE) y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providencia de 17 de enero de 2012, el Pleno del Tribunal Constitucional acordó la avocación del presente recurso de amparo, de conformidad con el art. 10.1 n)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26 de marzo de 2012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Penal del Tribunal Supremo de 25 de junio de 2009, que acuerda no haber lugar a la admisión del recurso de casación formalizado contra el Auto de la Sección Tercera de la Audiencia Provincial de Pontevedra de 4 de septiembre de 2008, en el que se acuerda fijar el límite máximo de cumplimiento en treinta años de privación de libertad, estableciendo que el cómputo de las redenciones se realizará de conformidad con la doctrina establecida por el Tribunal Supremo en la Sentencia de 28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 decidir es si la resolución impugnada vulnera los derechos fundamentales a la tutela judicial efectiva (art. 24.1 CE), a la libertad (art. 17.1 CE) y a la igualdad en la aplicación de la ley (art. 14 CE), con la argumentación que queda ampliamente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primera de las quejas articuladas en la demanda, bajo la invocación de los derechos a la tutela judicial efectiva (art. 24.1 CE), se denuncia desde diversas perspectivas constitucionales la cuestión de fondo, esto es, la aplicación al presente caso de un nuevo criterio jurisprudencial en la interpretación de los arts. 70.2 y 100 del Código penal (CP) de 1973, y concordantes del reglamento penitenciario, en relación con el cómputo de la redención de penas por el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cada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como quedó reflejado en los antecedentes, la vulneración del principio de igualdad en la aplicación de la ley (art. 14); del principio de legalidad penal (art. 25.1 CE) —desde la doble perspectiva de la ilegitimidad del nuevo criterio interpretativo y la aplicación retroactiva de una ley desfavorable—; del derecho a la libertad (art. 17.1 CE); y del derecho a la tutela judicial efectiva (art. 24.1 CE), en relación con el derecho a la libertad. Todo ello en la medida en que la aplicación del nuevo criterio de cómputo de las redenciones de penas por trabajo modifica sus expectativas de alcanzar la libertad en un plazo menor al de treinta años de cumplimiento efectivo, ya que con el anterior criterio de cómputo las redenciones se descontarían de ese límite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cual, hemos de comenzar precisando cuáles son los derechos fundamentales en juego y cuál ha de ser nuestro parámetro de enjuiciamiento en esta materia. No obstante, con carácter previo, conviene aclarar que el objeto del presente recurso de amparo no lo constituye la Sentencia 197/2006, de 28 de febrero, dictada por la Sala Segunda del Tribunal Supremo, sino que nuestro examen se ha de limitar a la consideración de la respuesta judicial que para el caso concreto se contiene en las resoluciones recurridas, en las que se acuerda la acumulación de las condenas del recurrente, fijando el límite máximo de cumplimiento y la aplicación como criterio de cómputo de las redenciones el establecido con carácter previo en la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el Tribunal Europeo de Derecho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contra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Como señala el Ministerio Fiscal, el término de comparación que se ofrece tiene tal carácter de indeterminación que en modo alguno puede servir a los afectos del referido derecho fundamental. Además, la resolución dictada por la Audiencia Provincial de Pontevedra se limita a aplicar la doctrina sentada con anterioridad por otro órgano judicial, el Tribunal Supremo, máximo intérprete de la ley, justificando el cambio de criterio en el cómputo de las redenciones de penas por el trabajo, frente a otros supuestos resueltos con anterioridad, precisamente en aplicación de esa doctrina. El Tribunal Supremo, por su parte, al confirmar el Auto de la Audiencia Provincial se remite también al criterio sentado en su Sentencia anterior, que es a la que en realidad se está imputando la vulneración del art. 14 CE, pero que no es objeto de enjuiciamiento en el presente proceso de amparo como señalamos anteriormente. Por tanto, en el presente caso no puede apreciarse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STC 237/1998, de 14 de diciembre, FJ 3; y 31/1999, de 8 de marzo, FJ 3). Nuestra función se limita a examinar tales decisiones, desde la perspectiva de los derechos fundamentales en juego, cuyo contenido se constituye en límite a la actuación judicial (art. 123.1 en relación con los arts. 9.1 y 53.1,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17.1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penitenciaria,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y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judiciales recurridas vulneró su derecho a la tutela judicial efectiva (art. 24.1 CE) en relación con su derecho a la libertad (art. 17.1 CE), lo que habría sucedido en el presente caso, únicamente en la medida en que la aplicación del nuevo criterio jurisprudencial de cómputo de la redención de penas por trabajo hubiese implicado la defraudación de una legítima expectativa de alcanzar la libertad en un momento anterior a cumplimiento efectivo del máximo de treinta años establecido en el art. 70.2 CP 1973 consolidada en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en el presente caso se da la circunstancia de que, ni en la demanda de amparo, ni en el recurso de casación se alude ni argumenta nada sobre el derecho a la intangibilidad de las resoluciones judiciales, cuestión que ha sido introducida en el debate por parte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en el caso de que el motivo se hubiese articulado en el presente recurso de amparo, lo que, como hemos dicho, no ha sucedido, la queja debería ser inadmitida al concurrir respecto de ella el óbice procesal consistente en la falta de invocación ante los órganos de la jurisdicción ordinaria [art. 44.1 c) de la Ley Orgánica del Tribunal Constitucional]. En efecto, de la mera lectura del recurso de casación interpuesto contra el Auto de 4 de septiembre de 2008 de la Audiencia Provincial de Pontevedra, se desprende que el recurrente articuló una serie de motivos de impugnación para oponerse a esa nueva perspectiva jurídica en el cómputo de las redenciones, pero no denunció entonces indefensión alguna por el motivo ahora analizado, por lo que la alegada queja se trae a colación por el Fiscal sin haber dado oportunidad de pronunciarse sobre la misma al órgano judicial. En este sentido debe reiterarse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del planteamiento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para pronunciarnos sobre la queja de vulneración del derecho de tutela judicial en relación con el derecho a la libertad, han de tenerse en cuenta una serie de datos del caso concreto, que se desprenden del examen de las actuaciones recibidas, y de los que se infiere que no existe en el presente caso ninguna resolución judicial firme de la que pueda derivarse el efecto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 mayor amplitud se ha hecho constar en los antecedentes, la Sección Tercera de la Sala de lo Penal de la Audiencia Provincial de Pontevedra, mediante Sentencia núm. 22/1996, de 24 de junio de 1996, condenó al demandante como autor de seis delitos de detención ilegal; de un delito de robo con homicidio; de tres delitos de asesinato; de dos delitos de homicidio, en grado de tentativa; y de un delito de utilización ilegítima de vehículo de motor ajeno, a las penas siguientes: por cada uno de los seis delitos de detención ilegal, a la pena de doce años y un día de reclusión menor; por el delito de robo con homicidio, a la pena de treinta años de reclusión mayor; por cada uno de los tres delitos de asesinato a la pena de treinta años de reclusión mayor; por cada uno de los dos delitos de homicidio en grado de tentativa a la pena de diez años de prisión mayor; y por el delito de utilización ilegítima de vehículo de motor ajeno a la pena de cinco meses de arresto mayor y privación del permiso de conducir por tiempo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la Sección Tercera de la Audiencia Provincial de Pontevedra de 21 de mayo de 1998 se aprobó la liquidación de condena practicada por el Secretario Judicial el 14 de mayo de 1998 en la causa de la que dimana la ejecutoria núm. 41-1998, en la que, tras deducirse únicamente los abonos por detención (un día) y por prisión preventiva (1.519 días), se hace constar que el actor deja extinguida la pena el día 24 de enero del año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julio de 2008 la Sección Tercera de la Audiencia Provincial de Pontevedra acordó requerir mediante providencia al centro penitenciario de Quatre Camins hoja de cálculo de la situación penitenciaria del condenado para, una vez recibida, dar traslado de la misma, junto con la ejecutoria, al Ministerio Fiscal para que informase sobre la posible aplicación de la Sentencia del Tribunal Supremo 197/2006, de 28 de febrero. La ficha de situación procesal penal del actor, elaborada por el citado centro penitenciario de Quatre Camins el mismo día 9 de julio de 2008, tras computar los abonos correspondientes a prisión preventiva y a beneficios penitenciarios, fija como fecha de cumplimiento definitivo, con el “antiguo código”, el día 3 de agosto de 2009. El Ministerio Fiscal, mediante escrito de fecha 21 de julio de 2008, informó que el contenido de la Sentencia del Tribunal Supremo 197/2006, de 28 de febrero, deberá de aplicarse en toda su extensión, “de forma que determinado el máximo de cumplimiento, debemos valorar que el cómputo de los beneficios penitenciarios será realizado en cada pena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4 de septiembre de 2008, dictado por la Sección Tercera de la Audiencia Provincial de Pontevedra, de conformidad con lo establecido en los arts. 988 y 141 y demás concordantes de la Ley de enjuiciamiento criminal (LECrim), en relación con lo dispuesto en las reglas primera y segunda del art. 70 del Código penal vigente en el momento de la comisión de los hechos (de 1973), “se establece el máximo de cumplimiento de las penas impuestas en la sentencia firme dictada por esta Sección Tercera en fecha 24/06/1996 al condenado Jesús Vela Martínez en el límite de treinta años de prisión, pero computándose los beneficios penitenciarios respecto a cada una de las penas individualmente”.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anterior Auto el actor interpuso recurso de casación por infracción de ley (art. 849.1 LECrim) que fue inadmitido mediante Auto de la Sala de lo Penal del Tribunal Supremo de 25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resoluciones anteriores a las aquí recurridas no deciden acerca del criterio de cómputo de las redenciones, ni incorporan dicho criterio de manera clara como ratio decidendi, por lo que no puede afirmarse que de ellas se derive una situación consolidada e intangible sobre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cabe concluir que, en el presente caso, ni existe vulneración del derecho a la tutela judicial efectiva en su vertiente de intangibilidad de las resoluciones judiciales firmes (art. 24.1 CE), ni vulneración del derecho a la libertad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o de la administración penitenciaria en la ejecutoria, de alcanzar su libertad en un momento distinto al que resulta de las resoluciones judiciales recurridas.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Jesús Vela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amparo núm. 7852-2009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10718-2006.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