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242</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30 de noviembre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6469-2013, promovido por doña Joana Tejado Hernández, representada por la Procuradora de los Tribunales doña Irene Martín Noya y asistida por la Abogada doña Virginia Carrasco López, contra el Auto de fecha 24 de septiembre de 2013, dictado por la Sala de lo Civil del Tribunal Supremo, por el que se desestimó el recurso de queja interpuesto contra el Auto de la Audiencia Provincial de Madrid, Sección 24, dictado en fecha 24 de junio de 2013, que acordó la inadmisión del recurso de casación interpuesto contra la Sentencia de fecha 14 de marzo de 2013, dictada por el mismo órgano judicial, en el rollo de apelación núm. 1671-2012, que desestimó el recurso de apelación interpuesto contra la Sentencia de fecha 4 de octubre de 2012, dictada por el Juzgado de Violencia sobre la Mujer núm. 8 de Madrid en el procedimiento de filiación núm. 1-2012. Ha comparecido y formulado alegaciones don Edgar A.B.P, representado por el Procurador de los Tribunales don Ángel Francisco Codosero Rodríguez y asistido por el Abogado don Jaime Uña-Llorens Uña-Orostivar. Ha intervenido el Ministerio Fiscal. Ha sido Ponente el Magistrado don Fernando Valdés Dal-Re,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6 de noviembre de 2013, la Procuradora de los Tribunales doña Irene Martín Noya, en nombre y representación de doña Joana Tejado Hernández, interpuso recurso de amparo contra las resoluciones judiciales referidas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representación procesal de don Edgar A.B.P. presentó demanda de reclamación de filiación paterna no matrimonial, por la que solicitaba se declarase que el actor era el padre biológico de la menor A.T.H., nacida el 17 de febrero de 2010 e inscrita en el Registro Civil de Madrid. Asimismo, en el suplico de la demanda solicita expresamente que, una vez firme la Sentencia, se remita testimonio de la misma al Registro Civil de Madrid para la inscripción y rectificación correspondiente “a fin de ordenar que tras el nombre de la niña figure el primer apellido del padre, realizando cualquier otra rectificación que sea necesaria en el acta de nacimiento”. Turnada la demanda al Juzgado de Primera Instancia núm. 77 de Madrid, dicho Juzgado se inhibió por Auto de fecha 4 de noviembre de 2011 (de conformidad con lo previsto en el art. 87 ter. 3 de la Ley Orgánica del Poder Judicial, en relación con el número 2 del mismo precepto), al Juzgado de Violencia sobre la Mujer núm. 8 de Madrid que, por Auto de fecha 4 de febrero de 2012, aceptó la inhibición y acordó la incoación de procedimiento de filiación con núm. de registro 1-2012.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su contestación a la demanda, presentada en fecha 12 de junio de 2012, la representación procesal de doña Joana Tejado Hernández, hoy recurrente en amparo, expone literalmente en el encabezamiento de su escrito de contestación (siendo suyas las mayúsculas), que: “venimos a CONTESTAR a dicha demanda SIN OPONERNOS a la misma”, lo que se reitera en el suplico, en el que expone, siendo también suyas las mayúsculas, que: “se tenga por presentada CONTESTACIÓN SIN OPOSICIÓN a la demanda de filiación instada por la representación procesal de Edgar A.B.P.”. En el cuerpo del escrito de contestación a la demanda se afirma que se está conforme con la realización de la prueba biológica acordada por el Juzgado “haciendo constar que no hay oposición a la demanda de paternidad”.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en la contestación a la demanda se expone que la demandada tuvo una relación de noviazgo de cinco años con el demandante, de la que nació la niña cuya paternidad se reclama, pero que el padre de la menor no ha mantenido nunca una relación normalizada con la niña, ni ha contribuido a sufragar los gastos de la menor. También se constata que el día 2 de junio de 2011 fue agredida por el actor, don Edgar A.B.P. y se aporta una Sentencia de fecha 15 de junio de 2011, dictada por el Juzgado de lo Penal núm. 35 de Madrid, en los Autos de juicio rápido núm. 400-2011, por la que se condena al actor como autor de un delito de malos tratos en el ámbito familiar, previsto y penado en el art. 153.1 y 3 del Código penal, a la pena de nueve meses y un día de prisión, inhabilitación especial para el ejercicio del derecho de sufragio pasivo durante el tiempo de la condena, privación del derecho a la tenencia y porte de armas durante tres años y prohibición de aproximarse a doña Joana Tejado Hernández a una distancia no inferior a quinientos metros y de comunicarse con la misma por cualquier medio durante dos años. Sentencia que fue recurrida por el condenado, estando en esa fecha aún pendiente de resolución 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Una vez celebrada la vista oral, el Juzgado de Violencia sobre la Mujer núm. 8 de Madrid dictó Sentencia, de fecha 4 de octubre de 2012, estimando la demanda y declarando que el actor es el padre biológico de la menor A.T.H. y, en consecuencia, ordenado que “en el asiento del nacimiento de la mencionada menor se efectúe la rectificación que proceda en consonancia a esta declaración, incluyendo el apellido paterno y referencia de que el padre de la misma es el referido”. En el fallo también se recoge que “se inadmite la pretensión extemporánea de la demandada respecto de que se imponga un orden de apellidos, que en todo caso sería desestimada por no existir en el momento en que se realiza consentimiento entre los progenitores”. En el fundamento de Derecho tercero de esta resolución se expone que “no procede admitir la petición de la demandada en el acto de la vista respecto de que se mantuviera en primer lugar los apellidos de la madre, para evitar gastos y perjuicios a la menor, pues en todo caso debería haberse efectuado con la contestación, y supone una reconvención no prevista en la ley procesal, y consiguientemente nada se resolverá sobre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representación procesal de la parte demandada interpuso recurso de apelación. En dicho recurso se expone que “el objeto del presente recurso de apelación versa, exclusivamente, sobre la petición realizada por Joana Tejado Hernández al respecto de que se mantenga como primer apellido de la menor el de la madre y como segundo apellido de la menor, el del padre”, aclarando que dicha petición no se incluyó en la contestación a la demanda porque la interesada transmitió este deseo a su abogada “días antes de que tuviera lugar la celebración del juicio. Por ello, fue en la vista del juicio oral donde se solicitó”, y añadiendo que dicha solicitud no puede calificarse de reconvención pues se trata de una petición de la madre de la menor realizada en la vista del juicio oral, que no requiere la práctica de prueba específica por ninguna de las dos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recurso de apelación la parte recurrente expone que la petición se realiza “en atención a evitar daños y perjuicios a la menor, pues aun tratándose de una niña de corta edad, se le ha enseñado su nombre y sus apellidos, los cuales conoce y dice perfectamente a quien le pregunta quién es o cómo se llama”, añadiendo otros inconvenientes como que “la menor consta registrada con el apellido materno en primer lugar, lógicamente, en la Seguridad Social … Además de haber solicitado la madre de la menor ayudas y subvenciones en las que, igualmente, consta como primer apellido de su hija el materno”, concluyendo que el cambio de orden de los apellidos “ocasiona ahora a la menor un perjuicio en lo que al orden de los apellidos se refiere que entendemos no debe asumir la niña cuando es el padre el que decidió primero no reconocerla y luego hacerlo a los tres años de vida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presentó escrito impugnando el recurso de apelación al entender que la petición del cambio de apellidos resultó extemporánea, pues debió de haberse planteado en la contestación a la demanda, añadiendo que “cualquier introducción de un objeto nuevo en el juicio posterior a esta fase está vedada por el art. 406 en relación con el art. 400 de la Ley de enjuiciamiento civil (LEC), referidos al momento preclusivo para formular nuevas pretensiones”, sin que pueda apoyarse una nueva pretensión sobre la base de que la mandante no trasmitió su deseo hasta días antes de la vista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Sentencia de 14 de marzo de 2013, la Audiencia Provincial de Madrid desestimó el recurso de apelación razonando que “la petición de la parte apelante fue formulada por primera vez por la parte demandada en primera instancia en la vista (minuto 2), por lo que de conformidad con el art. 406 LEC, en relación con el art. 400 del mismo cuerpo legal es extemporánea, lo que bastaría para desestimar dicha petición”, añadiendo que el demandante don Edgar A.B.P se opone al cambio del orden de los apellidos “por lo que no se cumple la previsión contemplada en el párrafo segundo del artículo 109 CC”. Por último, en dicha Sentencia se expone que: “esgrime la parte apelante en apoyo de su pretensión revocatoria perjuicio a la menor, pero ello ha carecido de corroboración probatoria”.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representación procesal de la parte demandada presentó escrito de interposición de recurso de casación, al amparo del art. 477.2.1 LEC, invocando “la vulneración del derecho a la igualdad ante la ley, sin que pueda prevalecer discriminación alguna por razón de sexo (art. 14 CE)”. Se argumenta que “la aplicación del art. 109 del Código Civil (CC) en relación con los arts. 49 a 53 de la Ley del Registro Civil (LRC) y el art. 194 del Reglamento del Registro Civil (RRC), por los que es desestimada la pretensión de esta parte vulneran de forma manifiesta el derecho de igualdad ante la ley y no discriminación por razón de sexo del art. 14 CE”, pues en caso de desacuerdo entre ambos progenitores prevalece la decisión del padre. En consecuencia, la defensa de la recurrente aduce que “se parte de una situación de desigualdad manifiesta por razón de sexo, que vulnera el principio de igualdad entre el padre (hombre) y la madre (mujer); segundo, se deja al libre arbitrio del padre (hombre) la decisión del orden de los apellidos de la menor, obviando motivos espurios y comportamientos del progenitor en lo que al reconocimiento de la filiación de la menor se refiere y tercero, se procede a una aplicación automática de la ley que perjudica a la menor y por ello debe corregirse y estimarse la petición”.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fecha 24 de junio de 2013, la Audiencia Provincial de Madrid acuerda declarar “la inadmisión del recurso de casación” al entender que “el motivo no es admisible pues el proceso no fue específicamente instado para la tutela judicial de los derechos fundamentales, tal y como, según jurisprudencia reiterada del TS, exige el cauce del art. 477.2.1 LEC, dado que el acceso a la casación por la citada vía no se produce por el simple hecho de que la materia litigiosa se refiera o afecte a un derecho fundamental, sino que es preciso que su tutela jurisdiccional haya constituido el específico objeto del litigio, tramitado bien conforme a las reglas del juicio ordinario, bien por el cauce incidental previsto en la Ley 62/1978, de 26 de diciembre, lo que no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Contra esta última resolución se interpuso recurso de queja, que fue desestimado por Auto de 24 de septiembre de 2013 de la Sala de lo Civil del Tribunal Supremo, en el que se reitera que la recurrente “utiliza una vía casacional inadecuada, pues habiéndose sustanciado el procedimiento por razón de la materia su acceso a la casación sólo habría sido posible por la vía del art. 477.2.3 LEC, siempre que se acreditara la existencia de ‘interés casacional’, lo que en el presente caso no se ha realizado por la parte recurrente al utilizar la vía del ordinal 1º del art. 477.2 LEC. Debe añadirse que el acceso a la casación por la vía del citado art. 477.2.1º LEC no se produce por el simple hecho de que la materia litigiosa se refiera o afecte a uno de los derechos fundamentales reconocidos por la Norma Suprema, sino que es preciso que su tutela jurisdiccional haya constituido el específico objeto del litigio, lo que no es el caso, teniendo esta Sala reiterado que es el objeto del proceso el que determina este cauce específico de acceso al recurso de casación, por lo que es únicamente aplicable a los juicios relativos a la protección jurisdiccional de los derechos fundamentales a que se refiere el artículo 53.2 de la Constitución y que hayan sido vulnerados en la realidad extraprocesal (por ello se excluye el art. 24 CE), de ahí que la previsión normativa contemple en este caso la recurribilidad en casación de las sentencias recaídas en procesos referidos a la tutela civil del honor, intimidad, imagen u otro derecho fundamental, mas no en aquellos atinentes a derechos reales, contratos o cualesquiera otra cuestión civil o mercantil, en los que no cabe utilizar el referido ordinal 1º del art. 477.2 por el simple medio de citar como infringido un precepto constitucional, aunque tenga relación con la materia debatida en el pleito; y en el presente supuesto en que el litigio versa sobre reconocimiento de paternidad, es obvio que no han constituido objeto de un proceso para la tutela civil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Supremo insiste en que la vía de impugnación empleada por la recurrente resulta inadecuada, añadiendo que la vía ajustada era la del “interés casacional” prevista en el ordinal 3 del citado precepto, sin que en el presente caso se hubiera acreditado la existencia del mismo por ninguna de las tres vías establecidas en el art. 477.2.3 LEC, es decir, por oposición a la jurisprudencia del Tribunal Supremo, por jurisprudencia contradictoria de Audiencias Provinciales o por aplicación de norma con vigencia inferior a cinco años, de la que no exista jurisprudencia de la Sala sobre ella o sobre normas de similar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denuncia “la vulneración del derecho a la igualdad ante la ley, sin que pueda prevalecer discriminación alguna por razón de sexo (art. 14 CE)”, en este sentido se aduce que “la aplicación automática de los arts. 109 CC y 194 RRC, al caso en cuestión, genera una situación de desigualdad entre las partes, pues se otorga al padre la capacidad última de decisión al respecto de establecer el orden de los apellido de la menor”, sin atender a otros hechos relevantes como que el actor inicialmente decidió no reconocer dicha paternidad y lo hizo tres años después del nacimiento de la niña, momento en el que había recaído sobre él una condena por violencia de género, siendo la víctima la madre de la menor, sin que a la fecha el padre haya asumido ninguna carga económica a favor de la niña.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argumenta que la ley deja al libre arbitrio del padre, por el sólo hecho de ser varón, la decisión sobre el orden de los apellidos de la menor si no existe acuerdo entre los progenitores, lo que evidencia una situación de desigualdad por razón de sexo que vulnera el art. 14 CE. Insiste la parte recurrente en que el art. 194 del Reglamento del Registro civil “atenta de forma flagrante el principio de igualdad entre hombre y mujer, pues impone que el primer apellido del menor sea el del padre, es decir, el del hombre, frente al primer apellido de la madre, es decir, el de la mujer, que por este sólo hecho (ser mujer, por tanto, por razón de sexo) queda relegada al segundo lugar. Por ello, la discriminación hacia la mujer se hace patente”, situación de desigualdad que, a juicio de la recurrente, no se corrige en el art. 109 del Código civil (CC) ni, en el caso que nos ocupa, en las resoluciones judiciales recurridas, que, además, tampoco valoran el consiguiente perjuicio ocasionado a la niña, quien ve modificado el orden de sus apellidos, lo que le puede provocar confusión en relación con su identidad, además de otros inconvenientes de naturaleza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26 de junio de 2014, la Sala Segunda de este Tribunal acordó la admisión a trámite de la demanda de amparo y, a tenor de lo dispuesto en el art. 51 de la Ley Orgánica del Tribunal Constitucional (LOTC), requerir atentamente a la Sala de lo Civil del Tribunal Supremo para que en el plazo de diez días remitiera certificación o copia adverada de las actuaciones correspondientes al recurso de queja 188-2013; a la Sección 24 de la Audiencia Provincial de Madrid a fin de que en el plazo de diez días remitiera certificación o copia adverada de las actuaciones correspondientes al recurso 1671-2012; y al Juzgado de Violencia sobre la Mujer núm. 8 de Madrid, para que en el plazo de diez días remitiera certificación o copia adverada de las actuaciones correspondientes a los Autos de filiación 1-2012, interesándose al propio tiempo el emplazamiento de quienes fueron parte en el procedimiento, a excepción de la parte demandante de amparo, ya personada, para que pudieran comparecer en el plazo de diez días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Secretaria de Justicia de la Sala Segunda de 29 de julio de 2014 se tuvo por personado a don Edgar A.B.P. y, conforme se interesa, se libró oportuna comunicación al Ilustre Colegio de Abogados de Madrid a fin de que, si procede, se designen Abogado y Procurador de oficio para que asuman su defensa y representación 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Secretaria de Justicia de la Sala Segunda de 11 de septiembre de 2014 se tuvo por designados del turno de oficio para la representación y defensa de don Edgar A.B.P. al Procurador de los Tribunales don Ángel Francisco Codosero Rodríguez y al Abogado don Jaime Uña-Llorens Uña-Orostivar. Asimismo se procedió, conforme a lo establecido en el art. 52.1 LOTC, a dar vista de las actuaciones por plazo común de veinte días al Ministerio Fiscal y a las partes personadas, para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don Edgar A.B.P. presentó su escrito de alegaciones en este Tribunal el 25 de septiembre de 2014, exponiendo, en primer lugar, que la petición que eleva la recurrente en amparo se planteó extemporáneamente en la vía judicial ordinaria vulnerando los arts. 753, 405 y 406 LEC. Y ello, “porque el art. 753 LEC, que regula las disposiciones generales aplicables al proceso de paternidad, establece que tal procedimiento se regirá por los trámites del juicio verbal y que se contestará la demanda presentada en el plazo de 20 días, conforme a lo establecido en el art. 405 de la LEC” y, por tanto, entiende que “la demandante de amparo debería haber solicitado en la contestación a la demanda o por vía de reconvención que se conservase en el Registro Civil en primer lugar el apellido de la madre, sin que pueda hacerse esa petición “ex novo” el día de la vista oral, porque si el juez concediese dicha petición la sentencia sería incongruente al otorgar algo que no consta pedido en el suplico de la contestación a la demanda”. En consecuencia, afirma que “de estimarse el presente recurso de amparo, debería modificarse la LEC e introducir la posibilidad de que tanto el demandante como el demandado puedan modificar iniciado el juicio sus peticiones”.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alega que la demandante incurrió en un incumplimiento de los presupuestos formales para la admisión del recurso de casación, ya que la vía del art. 477.2.1 LEC está reservada para los juicios relativos a la protección jurisdiccional de los derechos fundamentales a que se refiere el art. 53.2 CE, que no es el caso que nos ocupa, por lo que el acceso a la casación sólo habría sido posible por la vía del art. 477.2.3 LEC, si se acredita “interés casacional”, cosa que no hizo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Razones que se consideran suficientes para que se desestime el recurso de amparo y a las que se añade, como cuestión de fondo, que es la hija menor la única titular del derecho a los apellidos, por lo que tanto el padre como la madre actúan en la misma posición de igualdad en este proceso, como tutores de los derechos de la hija mientras esta es menor, entendiendo que no hay razón para considerar que uno de los progenitores tiene “más razón que otro” en cuanto al de orden los apellidos, sino que será la hija la que decidirá al respecto cuando sea mayor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 escrito de alegaciones en este Tribunal el 13 de octubre de 2014 solicitando, de acuerdo con lo dispuesto en los arts. 53 y 55 LOTC,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hacer un resumen de los antecedentes y una síntesis del contenido de la demanda de amparo, el Fiscal expone que el orden de los apellidos en los casos de determinación de la filiación paterna y materna viene fijado en el art. 109 CC, que ha de ponerse en conexión con lo dispuesto en el art. 53 de la Ley del Registro Civil, en su redacción dada por la Ley 13/2005, de 1 de julio, así como con el art. 194 RRC, en su redacción dada por Real Decreto 193/2000, de 11 de febrero y, finalmente, con el art. 197 RRC, que prevé que en los supuestos de inscripción posterior de la filiación paterna, como sucede en el presente caso, se deberá fijar el orden de los apellidos del hijo. El Fiscal concluye que en defecto de acuerdo o cuando no se ejercita la opción de forma explícita, el art. 109 CC apela al criterio que fije la ley y, puesto que ni en el art. 53, ni en el art. 55, ambos de la Ley del Registro Civil, en su actual redacción, se hace mención alguna a dicho orden, debe acudirse a lo dispuesto en el art. 194 RRC, que fija el criterio legal dando preferencia al apellido paterno sobre el materno, por lo que, a juicio del Fiscal, el padre sigue gozando de una posición preferente en el ámbito de la decisión sobre los apellidos y, con ello, el modelo legal es notablemente deficitario en orden a garantizar plenamente el principio de igualdad entre los progenitores, al no erradicar el criterio de discriminación por razón de sexo que deriva de la preferencia legal del apellido paterno.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el Fiscal considera que, pese a la situación legal vigente en el momento en que se produjeron los hechos objeto del presente recurso de amparo, el principio de igualdad de trato entre hombres y mujeres debe presidir la interpretación y aplicación de las normas por parte de los Tribunales, de acuerdo con lo dispuesto en el art. 4 de la Ley 3/2007, de 22 de marzo, para la igualdad efectiva de mujeres y hombres, así como en los textos internacionales que forman parte de nuestro ordenamiento jurídico y que instan a los Estados a erradicar de sus ordenamientos jurídicos nacionales todo atisbo de discriminación de la mujer, citando en este sentido la Convención de Naciones Unidas sobre la eliminación de todas las formas de discriminación contra la mujer, ratificada por España el 5 de enero de 1984; la Decisión del Comité para la Eliminación de la Discriminación contra la Mujer, de 4 de agosto de 2009; y la Recomendación 1271 (1995) del Consejo de Europa, relativa a las discriminaciones entre hombres y mujeres para la elección del apellido y la transmisión del apellido de padres a hijos, que insta a los Estados miembros a adoptar medidas apropiadas para implementar la estricta igualdad entre madres y padres en la transmisión de los apellidos a sus hijos.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Fiscal afirma que coincide con los términos de la lesión constitucional denunciada por la demandante de amparo, toda vez que el criterio legal de preferencia o de primacía del apellido paterno sobre el materno en defecto de acuerdo entre los progenitores es frontalmente contrario al principio constitucional de igualdad y no discriminación por razón de sexo proclamado en el art. 14 CE, citando en este sentido la STC 39/2002, FJ 5, así como diversos pronunciamientos del Tribunal Europeo de Derecho Humanos, de entre los que cabe destacar los casos Ünal Tekeli c. Turquía, de 16 de noviembre de 2004; Cusan y Fazzo c. Italia, de 7 de enero de 2014 y Losonci Rose y Rose c. Suiza, de 9 de noviembre de 2010, de los que se desprende que para el Tribunal Europeo de Derecho Humanos la imposición del apellido paterno, sin opción o excepción alguna, es una regla discriminatoria contra las mujeres.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añade que en el caso que nos ocupa el cambio de apellidos acordado en las resoluciones judiciales impugnadas se hizo sin valorar el posible perjuicio ocasionado a la hija, quien de esta forma “ve modificada su identidad de forma drástica en los primeros años de su vida cuando aprende quién es, cómo se llama, en definitiva, como decimos, su identidad”, argumentando que si bien en la demanda de amparo no hay una invocación expresa del derecho al nombre de la menor, como derecho integrado dentro del más amplio derecho fundamental a la propia imagen (art. 18.1 CE) y como manifestación del derecho al libre desarrollo de la personalidad (art. 10.1 CE), desde un criterio de flexibilidad en la tutela de los derechos fundamentales que inspira la doctrina constitucional (SSTC 35/2006, FJ 2, y 191/2011, FJ 6) podría entenderse que no hay obstáculo alguno en examinar también el amparo solicitado desde la perspectiva de los derechos fundamentales de la hija menor, lo que contaría con el precedente de la STC 167/2013, de 7 de octubre. Así, el Fiscal considera que los Tribunales ordinarios debieron ponderar el interés de la hija menor, como interés de carácter prevalente, por lo que las resoluciones judiciales impugnadas habrían vulnerado también el derecho a la propia imagen de la menor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26 de noviembre de 2015, se señaló para la deliberación y votación de la presente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contra las resoluciones judiciales que aparecen reflejadas en el encabezamiento de la presente Sentencia, por vulneración “del derecho a la igualdad ante la ley, sin que pueda prevalecer discriminación alguna por razón de sexo, previsto en el art. 14 CE”. Se aduce que la aplicación automática de los arts. 109 del Código civil (CC) y 194 del Reglamento del Registro civil (RRC) genera una situación de desigualdad entre las partes, al otorgar al padre la capacidad última de decisión en relación con el orden de los apellidos de la menor, pues la ley deja al libre arbitrio del padre, por el sólo hecho de ser varón, la decisión sobre el orden de los apellidos de la menor si no existe acuerdo entre los progenitores, lo que evidencia una situación de desigualdad por razón de sexo que vulnera el art. 14 CE. Para la parte recurrente los arts. 194 RRC y 109 CC vulneran de forma flagrante el principio de igualdad entre hombre y mujer, lo que no se corrige en las resoluciones judiciales recurridas que, además, tampoco valoran el consiguiente perjuicio ocasionado a la niña, que ve modificado el orden de sus apellidos.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representación procesal de don Edgar A.B.P. interesa la denegación del amparo alegando, en primer lugar, el incumplimiento de los presupuestos procesales y las reglas del proceso de reclamación de paternidad, argumentando que la petición de la recurrente se planteó extemporáneamente en la vía judicial ordinaria, vulnerando los arts. 753, 405 y 406 de la Ley de enjuiciamiento civil (LEC). En segundo lugar, aduce que la recurrente utiliza una vía inadecuada al interponer el recurso de casación, toda vez que tal recurso no podía ser admitido por la vía del art. 477.2.1 LEC, sino sólo utilizando el cauce previsto en el art. 477.2.3 LEC, siempre que se acredite “interés casacional”. Por último, entiende que no se produce vulneración del art. 14 CE, pues la hija menor es la única titular del derecho a los apellidos y tanto el padre como la madre actúan en la misma posición de igualdad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interesa, en los términos que se han reproducido con detalle en los antecedentes, que se dicte Sentencia estimando el recurso de amparo por vulneración de la prohibición de discriminación por razón de sexo del art. 14 CE y del derecho a la propia imagen de la menor previsto en el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Fiscal que la ley sigue dando preferencia al apellido paterno sobre el materno y, en consecuencia, que el modelo legal es notablemente deficitario en orden a garantizar plenamente el principio de igualdad entre los progenitores, por lo que han de ser los órganos judiciales quienes corrijan esta desigualdad en el momento de interpretar y aplicar las normas. Asimismo, considera que los órganos judiciales también han de valorar el posible perjuicio ocasionado a la menor, quien ve modificada su identidad con el cambio de apellidos, aclarando que, si bien en la demanda de amparo no hay una invocación expresa del derecho al nombre, como derecho integrado dentro del más amplio derecho fundamental a la propia imagen (art. 18.1 CE), desde un criterio de flexibilidad en la tutela de los derechos fundamentales que inspira la doctrina constitucional (SSTC 191/2011, FJ 6 y 35/2006, FJ 2), podría entenderse que no hay obstáculo alguno en examinar también el amparo solicitado atendiendo a la eventual vulneración del art. 18.1 CE de la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Aunque ninguna de las partes comparecidas ha puesto en duda la especial trascendencia constitucional de este recurso, que es requisito para su admisión de conformidad con los arts. 49.1 y 50.1 b) de nuestra Ley Orgánica reguladora, esta condición de requisito de admisión y por consiguiente de orden público procesal (entre otras, STC 113/2012, de 24 de mayo, FJ 2, y las allí citadas) así como exigencias de certeza y buena administración de justicia (STEDH de 20 de enero de 2015, caso Arribas Antón c. España, apartado 46) obligan a explicitar el cumplimiento de ese requisito para hacer así recognoscibles los criterios empleados al efecto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este Tribunal decidió admitir el recurso de amparo porque su objeto podría dar ocasión para aclarar nuestra doctrina en materia de derecho de igualdad, como consecuencia de un proceso de reflexión interna [supuesto b) de los enunciados en la STC 155/2009, de 25 de junio, FJ 2], y además, en segundo lugar, porque dicho objeto permitía a este Tribunal valorar si la eventual vulneración del derecho fundamental que se denuncia proviene de la ley [supuesto c) de la STC 155/2009, FJ 2, antes citada]. Lo cual no significa necesariamente que esos dos factores relevantes para decidir la admisión del recurso deban trasladarse al núcleo de nuestra razón de decidir sobre el fondo del recurso, como ya tuvimos ocasión de aclarar en la STC 9/2015, de 2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tenor de lo expuesto en el fundamento jurídico primero, debemos pronunciarnos en primer lugar respecto de los óbices de admisibilidad aducidos por la representación procesal de don Edgar A.B.P., antes de entrar a analizar, en su caso, las quejas planteadas en la demanda de amparo. Este análisis no encuentra obstáculo en el momento procesal en que nos hallamos pues, según este Tribunal ha declarado repetidamente, los defectos insubsanables de que pudiera estar afectado el recurso de amparo no resultan sanados porque la demanda haya sido inicialmente admitida, de modo que la comprobación de los presupuestos procesales para la viabilidad de la acción puede siempre abordarse en la Sentencia, de oficio o a instancia de parte, pudiendo dar lugar a un pronunciamiento de inadmisión por falta de tales presupuestos, sin que sea obstáculo el carácter tasado de los pronunciamientos previstos en el art. 53 de la Ley Orgánica del Tribunal Constitucional (LOTC; por todas, SSTC 7/2007, de 15 de enero, FJ 2; 242/2007, de 10 de diciembre, FJ 2; 43/2008, de 10 de marzo; FJ 2; 28/2011, de 14 de marzo, FJ 3, y 168/2012, de 1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en primer lugar que la petición que eleva la recurrente en amparo se planteó extemporáneamente en la vía judicial ordinaria. Y ello, porque el art. 753 LEC, que regula las disposiciones generales aplicables al proceso de filiación, establece que el procedimiento se regirá por los trámites del juicio verbal y que se contestará a la demanda presentada en el plazo de 20 días, conforme a lo establecido en el art. 405 LEC. Por tanto, la representación procesal de la hoy demandante de amparo debería haber solicitado en la contestación a la demanda de determinación legal de la filiación paterna extramatrimonial que, de ser reconocida la paternidad, se mantenga en primer lugar el apellido de la madre —exponiendo las razones que a bien tuviera aducir—, no siendo posible plantear dicha solicitud ex novo el día de la vista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 alegación, debemos comenzar constatando, como ha quedado reflejado con detalle en los antecedentes, que en el suplico de la demanda de reclamación de filiación paterna interpuesta por la representación procesal de don Edgar A.B.P. se solicitaba expresamente, además del reconocimiento de paternidad de la menor, la inscripción y rectificación correspondiente en el Registro Civil de Madrid “a fin de ordenar que tras el nombre de la niña figure el primer apellido del padre, realizando cualquier otra rectificación que sea necesaria en el acta de nacimiento”. No obstante lo anterior, y como también consta en los antecedentes, la contestación a la demanda se realizó sin oposición a dicha pretensión, afirmando literalmente, tanto en el encabezamiento de dicho escrito, como en el suplico, que “venimos a contestar a dicha demanda sin oponernos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 posteriormente, en la vista oral, cuando la defensa de la demandante de amparo se opuso al cambio en el orden de los apellidos, solicitando al órgano judicial que se mantuviera en la inscripción registral como primer apellido de la menor el de la madre. Solicitud que el Fiscal calificó en ese momento de extemporánea, tal y como se refleja en el acta del juicio oral. Dicha extemporaneidad se refleja en el fallo y se motiva en el fundamento jurídico tercero de la Sentencia de 4 de octubre de 2012 del Juzgado de Violencia sobre la Mujer núm. 8 de Madrid. Pero además, la reconoce la propia defensa de la recurrente en el recurso de apelación interpuesto contra dicha resolución, al afirmar que la petición de desestimar la solicitud del padre sobre el orden de los apellidos, “no se incluyó en la contestación a la demanda porque Joana Tejado Hernández la transmitió a la Letrado firmante días antes de que tuviera lugar la celebración del juicio. Por ello, fue en la vista del Juicio Oral donde se solicitó”.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art. 405.1 LEC prevé, entre otros extremos, que en la contestación a la demanda “el demandado expondrá los fundamentos de su oposición a las pretensiones del actor, alegando las excepciones materiales que tuviere por conveniente”. La contestación a la demanda es, por tanto, el acto procesal en el que el demandado fija su posición frente a la pretensión o pretensiones formuladas por el actor, y en el que se han de exponer los argumentos pertinentes para fundamentar dicha oposición y, en su caso, proponer los medios de prueba o la aportación de documentos que considere necesarios, con el consiguiente efecto preclusivo caso de no ejercitar dicha facultad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como es sabido, dicha preclusión no afecta de forma exclusiva y autónoma a la primera instancia, sino que se proyecta sobre los demás grados jurisdiccionales de los que conozca ese proceso, lo que se hace patente en el recurso de apelación, que se configura como una revisio prioris instantiae y no como un novum iudicium. También en el recurso de casación, como ha insistido reiteradamente el Tribunal Supremo, al prohibir el planteamiento en el escrito de interposición, de “cuestiones nuevas” no tratadas en la instancia (últimamente entre otras, SSTS 170/2015, de 26 de marzo, y 198/2015, de 17 de abril, de la Sala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también afecta al presente proceso constitucional, debido al carácter subsidiario de la jurisdicción constitucional de amparo, que resultará desvirtuada si ante ella se trajeran cuestiones sobre las que previamente, a través de las vías procesales oportunas, no se ha dado ocasión de pronunciarse a los órganos del Poder Judicial, que son los que de modo directo y en primer término garantizan los derechos fundamentales que la Constitución proclama (STC 53/2012, de 29 de marzo, FJ 2; en igual sentido: SSTC 201/2000, de 24 de julio, FJ 2; 130/2006, de 24 de abril, FJ 4, y 132/2006, de 27 de abril,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No obstante lo anterior, a la vista de las resoluciones recurridas se desprende que, tanto la Sentencia del Juzgado de Violencia sobre la Mujer núm. 8 de Madrid, como la Sentencia de la Audiencia Provincial de Madrid, si bien constatan la extemporaneidad de la solicitud de la demandante respecto del orden de apellidos de la menor, hacen una valoración respecto del fondo de dicha pretensión. Así, en la Sentencia de 4 de octubre de 2012 del Juzgado de Violencia sobre la Mujer núm. 8 de Madrid se afirma que: “además téngase en cuenta que conforme a los artículos 49 y 53 de la Ley del Registro Civil y el art. 194 del Reglamento del Registro Civil, si la filiación está determinada por ambas líneas y, a salvo la opción prevista en el art. 109 del Código Civil, en su redacción actual dada por la Ley 40/1999, el primer apellido es el del padre y el segundo apellido el primero de los personales de la madre. La inversión del orden de los apellidos puede hacerse, pero mediando común acuerdo de los progenitores”. Por su parte, la Sentencia de 14 de marzo de 2013 de la Audiencia Provincial de Madrid, tras afirmar que, de conformidad con el art. 406 LEC en relación con el art. 400 del mismo Cuerpo Legal, la petición es extemporánea, añade que el demandante don Edgar A.B.P se opone al cambio del orden de los apellidos “por lo que no se cumple la previsión contemplada en el párrafo segundo del artículo 109 CC”, sin que el perjuicio ocasionado a la menor que aduce la demandante, cuente con ningún tipo de corroboración probatoria.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podría entenderse que, pese a lo extemporáneo de la solicitud, los órganos judiciales entran a valora la cuestión de fondo, quedando así salvada la naturaleza subsidiaria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Sin embargo, como se ha expuesto con detalle en los antecedentes, la primera vez que la representación procesal de la recurrente plantea la queja que hoy se eleva en amparo, esto es, la eventual vulneración del derecho a la igualdad (art. 14 CE) derivada de la prevalencia del apellido del padre respecto del de la madre, es en el recurso de casación. Dicha vulneración no se denuncia en primera instancia, ni en el recurso de apelación, pues los argumentos que se elevan para fundamentar la petición se centran exclusivamente en defender los intereses de la menor, con el fin de evitarle posibles perjuicios, pero nada se alega en relación con la vulneración del derecho a la igualdad, ni se puede inferir tal invocación de la argumentación de la demandante, por lo que no se puede reprochar a estos órganos judiciales el no haber realizado ningún juicio de igualdad, ni ponderación alguna al respecto, pues no cabe deducir que la queja haya quedado acotada “en términos tales que permitan al órgano judicial entrar a conocer de las específicas vulneraciones aducidas” (SSTC 212/1993, de 28 de junio, FJ 1, y 117/2002, de 20 de mayo,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falta de denuncia de la vulneración también constituye una causa de inadmisión del recurso de casación pues, como ya hemos indicado, no cabe el planteamiento en esta instancia de “cuestiones nuevas” no tratadas con anterioridad. Causa de inadmisión que se une a la ya señalada en sendos Autos de la Audiencia Provincial de Madrid y del Tribunal Supremo, al haberse utilizado el cauce previsto en el art. 477.2.1 LEC, en vez del recogido en el art. 477.2.3 LEC, como habría sido procedente y cuyo defecto de interposición la demanda de amparo no cuestiona, prescindiendo de dar argumentos que permitan justificar la procedencia de su recurso, por lo que, además de la falta de invocación del derecho, debemos aplicar la doctrina fijada en el Auto 198/2010, de 21 de diciembre, FJ 2, al haber utilizado un cauce erróneo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 acuerdo con lo expuesto y atendiendo a los requisitos de admisibilidad del recurso de amparo previstos en el art. 44 LOTC, la demanda de amparo no cumple con el requisito previsto en el art. 44.1 c) LOTC, que condiciona la admisión de todo recurso de amparo al cumplimiento del requisito inexcusable de que “se haya denunciado formalmente en el proceso, si hubo oportunidad, la vulneración del derecho constitucional tan pronto como, una vez conocida, hubiera lugar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Razones por las que este Tribunal no puede enjuiciar ex novo la vulneración del art. 14 CE que aduce la recurrente, dado que los órganos judiciales no tuvieron la oportunidad de entrar en el fondo de dicha pretensión por las razones que ya se han explicado, debiendo preservarse el carácter subsidiario del recurso de amparo que tiene como finalidad facilitar que los Jueces y Tribunales puedan cumplir su función de tutelar los derechos y libertades, así como la de conseguir que los órganos judiciales ordinarios remedien por sí mismos la violación que ellos causen del derecho o libertad fundamental (SSTC 201/2000, de 24 de julio, FJ 2; 130/2006, de 24 de abril, FJ 4; 132/2006, de 27 de abril, FJ 2, y 53/2012, de 29 de marzo, FJ 2, entre otras), dándoles “la oportunidad de pronunciarse y, en su caso, remediar la lesión invocada como fundamento del recurso de amparo constitucional” (por todas, SSTC 59/2007, de 26 de marzo, FJ 2, y 228/2007, de 5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inadmitir el presente recurso de amparo en aplicación de los apartados a) y c) del art. 44.1 LOTC, sin pronunciamiento en cuanto al fondo de las quejas planteadas en la demanda.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el recurso de amparo promovido por doña Joana Tejado Hernández.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noviembre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