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107</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21 de septiembre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en defensa de la autonomía local núm. 4292-2014 formulado por doña Virginia Aragón Segura, en nombre y representación de 2.393 municipios, respecto del artículo 1, apartados 3, 8, 9, 16, 21, 25, 30, 31, 36 y 38, así como del artículo 2, apartados 2 y 3, de la Ley 27/2013, de 27 de diciembre, de racionalización y sostenibilidad de la Administración local, por vulneración de la garantía constitucional de la autonomía local (arts. 137, 140 y 141 CE). Ha sido ponente el Magistrado don Cándido Conde-Pumpido Tourón,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30 de junio de 2014, doña Virginia Aragón Segura, en nombre y representación de 2.393 municipios, formula conflicto en defensa de la autonomía local con relación a varios preceptos de la Ley 27/2013, de 27 de diciembre, de racionalización y sostenibilidad de la Administración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conflicto en defensa de la autonomía local, tras razonar genéricamente que la  Ley 27/2013 vulneraría los artículos 137, 140 y 141 CE, desarrolla tres bloques de impugnaciones.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artículos 25.2, 26.2 y 116 ter de la Ley 7/1985, de 2 de abril, reguladora de las bases del régimen local (en adelante, LBRL), en la redacción dada por los apartados 8, 9 y 31, respectivamente, del artículo 1 de la Ley 27/2013 producirían sobre los municipios un desapoderamiento competencial contrario a la autonomía local constitucionalmente garantizada.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25.2 LBRL infringiría los artículos 137 y 140 CE por limitar el ámbito de las competencias propias municipales a una serie de materias tasadas. Los ayuntamientos no podrían ejercer competencias propias en otros ámbitos. Las Comunidades Autónomas, en ejercicio de sus atribuciones sectoriales, no podrían asignárselas. Tal interpretación, sostenida por el Consejo de Estado (dictámenes 567/2013 y 338/2014), resultaría de la observación de que en el informe de la ponencia del Senado desapareció un apartado que admitía expresamente que las Comunidades Autónomas pueden atribuir competencias municipales propias en materias distintas de las enumeradas en el artículo 25.2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artículo 26.2 LBRL, aun interpretando que autoriza a la diputación a proponer la forma de prestación del servicio municipal correspondiente solo si cuenta con la anuencia de los ayuntamientos involucrados, incurriría en la vulneración denunciada por las siguientes razones: en primer lugar, interpretado en conexión con el artículo 116 bis, apartados 2 b) y 3 LBRL, en la redacción dada por el artículo 1.30 de la Ley 27/2013, “ensombrecería” la exigencia de “conformidad” municipal ante una concreta contingencia (incumplimiento de los objetivos de estabilidad presupuestaria y sostenibilidad financiera), teniendo en cuenta que tal conformidad es la que evitaría que el precepto fuera flagrantemente inconstitucional; en segundo lugar, al señalar que el municipio solo podrá prestar los servicios si la diputación considera acreditado el menor coste efectivo, estaría desapoderando a los municipios de cualquier capacidad decisoria sobre la prestación de servicios insertos en sus competencias propias y atribuyendo una suerte de derecho de veto a una Administración superior incompatible con la calificación como “propia” de la competencia municipal y con la autonomía municipal constitucionalmente garantizada; en tercer lugar, al conferir al Ministerio de Hacienda y Administraciones Públicas la “decisión” sobre la propuesta formulada por la diputación, produciría una intromisión en la autonomía local que no podría cubrirse con el paraguas de la eficiencia y que resultaría tan evidente que causa extrañeza que el legislador no haya sido consciente de las consecuencias institucionales de la operación; en cuarto lugar, aplicado en las Comunidades Autónomas uniprovinciales, supondría atribuir funciones típicamente municipales a un nivel de gobierno que actúa extramuros del sistema local en contra del principio de subsidiariedad; en quinto lugar, al distribuir competencias en función del coste efectivo, vendría a sustraer a los municipios tareas por razones ajenas a la voluntad e intereses municipales como son las ventajas de las economías de escala (se citan las SSTC 32/1981, 214/1989, 13/1992, 68/1996, 109/1998 y 132/2012, así como el dictamen 338/2014 del Consejo de Estado); en sexto lugar, al trasladar aquellos servicios a las diputaciones, estaría desapoderando de competencias a los municipios en favor de entidades locales representativas de segundo grado (no sujetas, en cuanto a su composición, a mecanismos de elección directa) y, con ello, impidiendo la exigencia de responsabilidades políticas en caso de gestión desarrollada de modo ilegal o, simplemente, de manera poco adecuada a juicio de los ciudadanos, lo que en última instancia desvirtuaría el principio democrático.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artículo 116 ter LBRL, sobre el coste efectivo de los servicios, constituiría el eje medular del nuevo sistema competencial local. En esta previsión se apoyarían, además del impugnado artículo 26.2 LBRL, los apartados 1 h) y 2 del artículo 36 LBRL, que prevén funciones provinciales de seguimiento de los costes efectivos de los servicios y facultades de coordinación incompatibles con la autonomía local constitucionalmente garantizada. El coste efectivo como criterio de distribución de competencias chocaría frontalmente con la noción constitucional de autonomía, que conlleva la capacidad de priorizar entre diversos servicios y, por tanto, de optar por incrementar el nivel de prestación de aquellos que el ente autónomo considere pertinentes en función de las demandas vecinales o de las características socio-económicas de la zona.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artículos 7.4, 57.3, 85.2, 92 bis y 116 bis LBRL, en la redacción dada por los apartados 3, 16, 21, 25 y 30 del artículo 1 de la Ley 27/2013, los artículos 213, tercer párrafo, y 218 del texto refundido de la Ley reguladora de las haciendas locales, aprobado por Real Decreto Legislativo 2/2004, de 5 de marzo, en la redacción dada por los apartados 2 y 3 del artículo 2 de la Ley 27/2013, así como la disposición adicional novena LBRL, en la redacción dada por el artículo 1.36 de la Ley 27/2013, establecerían mecanismos de tutela, condicionantes y controles de oportunidad contrarios a los artículos 137, 140 y 141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7.4 LBRL vulneraría la garantía constitucional de la autonomía local por varias razones. En primer lugar, el precepto controvertido incumpliría la doctrina constitucional sobre los límites que el reconocimiento constitucional de la autonomía local impone al régimen de controles de la actividad local por parte del Estado o las Comunidades Autónomas (STC 4/1981). En segundo lugar, habría hurtado de cobertura jurídica a las “actividades complementarias” que venían desarrollando los municipios españoles (salvo las que puedan alojarse en el artículo 25.2 LBRL), con el consiguiente sacrificio del autogobierno municipal; y ello porque el precepto ocuparía el espacio de la anterior cláusula general de “actividades complementarias” (el derogado art. 28 LBRL), prohibiendo las “duplicidades”. El legislador habría trazado así un paralelismo entre las “actividades complementarias” y las “duplicidades” que resultaría inadmisible. En rigor duplicidad habría solo cuando dos poderes públicos territoriales prestan el mismo de tipo de acción a las mimas personas, grupos o entidades, que es algo distinto. En tercer lugar, el artículo 7.4 LBRL vulneraría los artículos 137 y 140 CE por condicionar el ejercicio de las denominadas competencias “impropias” a la ausencia de riesgos para la sostenibilidad financiera del ente local. Ciertamente, en los supuestos en que tales riegos fueran desproporcionados e impidieran materialmente ejercer aquellas competencias, puede admitirse que se imponga este límite a la autonomía local. No obstante, ello debería canalizarse mediante los planes económico-financieros regulados en la Ley Orgánica 2/2012, de 27 de abril, de estabilidad presupuestaria y sostenibilidad financiera, no a través de un informe vinculante. En cuarto lugar, los municipios promotores del conflicto destacan que el artículo 7.4 LBRL, en cuanto a los informes necesarios y vinculantes, dice solo que han de versar sobre duplicidades y sostenibilidad financiera. La intervención de las Administraciones a cuyo informe favorable se subordina el ejercicio de las competencias locales estaría excesivamente indeterminada, abriendo amplísimos márgenes de discrecionalidad. Ello supondría, a la postre, admitir muy diferentes aplicaciones, dando pie a que haya municipios que dispongan (por razones coyunturales y aleatorias) de un cartera de servicios íntegra y amplia, junto a otros con limitada capacidad de autogobierno. La supeditación del desempeño de tareas municipales a la voluntad de otra Administración sin establecer los parámetros legales dentro de los que debe moverse el informe de esa Administración resultaría por todo ello inconciliable con la garantía constitucional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artículo 57.3 LBRL vulneraría la autonomía constitucionalmente garantizada porque, al condicionar la constitución de consorcios a que suponga una asignación más eficiente de recursos económicos, impondría una limitación a la libre decisión del municipio sobre la forma de prestación de servicios públicos sin incorporar justificación alguna y sin fundamento constitucional. Chocaría igualmente con el derecho de los municipios a asociarse en aras al cumplimiento de sus competencias, recogida en la Carta Europea de la Autonomía Local (art. 10.1). Se citan las SSTC 32/1981 y 132/2012.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artículo 85.2 LBRL vulneraría la autonomía local constitucionalmente garantizada por primar la gestión por la propia corporación o mediante organismo autónomo frente a la entidad pública empresarial y la sociedad mercantil. Limitaría la capacidad de autoorganización del municipio sin justificación alguna (se cita la STC 214/1989).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lectura conjunta del artículo 92 bis LBRL y de los artículos 213 y 218 del Real Decreto Legislativo 2/2004 arrojaría la conclusión de que el Estado ha reinstaurado un servicio de inspección similar al que, regulado en el artículo 354 del Decreto de 24 de junio de 1955 por el que se aprobaba el texto refundido de las leyes de bases de régimen local, fue declarado inconstitucional. Habría recuperado los controles genéricos e indeterminados sobre la vida local (se cita la STC 4/1981).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92 bis LBRL, al atribuir a las Administraciones superiores funciones de selección y sanción de los funcionarios locales con habilitación nacional, convertiría los ayuntamientos en sucursales administrativas de aquellas. El interventor municipal sería de facto un representante de la Administración general del Estado en el ayuntamiento. El párrafo segundo del artículo 213 del Real Decreto Legislativo 2/2004, al atribuir al Gobierno la adopción de las normas sobre “procedimientos de control, metodología de aplicación, criterios de actuación, derechos y deberes del personal controlador y destinatarios de los informes”, reforzaría esta conclusión; los habilitados nacionales estarían llamados a desarrollar un control sobre la actividad local materialmente “externo” a costa de los recursos económicos del ayuntamiento.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impugnado artículo 213, párrafo tercero, del Real Decreto Legislativo 2/2004, al encomendar a los interventores locales la remisión de un informe-resumen con carácter anual a la Intervención General del Estado, colocaría al municipio en una posición de subordinación cuasi jerárquica excluyendo la participación y el conocimiento mismo de ese informe por parte de los órganos de gobierno del ayuntamiento (se citan las SSTC 214/1989 y 159/2011).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218 del Real Decreto Legislativo 2/2004 otorgaría al interventor más jerarquía que al propio alcalde al permitir la intervención de otra Administración (la que tenga atribuida la tutela financiera del municipio) en los casos en que la corporación no ajuste sus acuerdos a los reparos efectuados por el interventor. La resolución del presidente de la corporación debería poner fin a la vía administrativa, sin necesidad de acudir a la Administración superior, sin perjuicio de la vía jurisdiccional. Se vulneraría por ello la autonomía local y el carácter democrático de los ayuntamientos. Al prever la traslación al Tribunal de Cuentas de todas las resoluciones locales contrarias a los reparos efectuados por la intervención, establecería unos controles reiterativos y superfluos con la clara intención de dudar abiertamente del correcto cumplimiento de sus funciones por parte de los cargos representativos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artículo 116 bis LBRL vulneraría la garantía constitucional de la autonomía local por dos razones. En primer lugar, por obligar al ente local infractor de la disciplina fiscal a incorporar todas y cada una de las medidas enumeradas, lo que entrañaría una restricción absolutamente desproporcionada [se cita la STC 134/2011, FJ 14 A)]. En segunda lugar, por contradecir el artículo 21 de la Ley Orgánica 2/2012 sin respetar el artículo 135.5 CE; esta vulneración del sistema de fuentes conllevaría la de la autonomía local constitucionalmente garantizada.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La disposición adicional novena LBRL, en un asunto tan relevante como la disolución o liquidación de entidades municipales, vulneraría los artículos 137 y 140 CE por soslayar la intervención municipal. También por establecer la disolución ope legis a partir de un criterio restrictivo (desequilibrio financiero de cada entidad individualmente considerada) que chocaría con la previsión general establecida en la Ley Orgánica 2/2012 (desequilibrio del conjunto de la hacienda municipal), a la que se remite el artículo 135.5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disposición adicional decimosexta LBRL, en la redacción dada por el artículo 1.38 de la Ley 27/2013, sería contraria al principio democrático en el ámbito local con vulneración consecuente de la autonomía local constitucionalmente garantizada. Permitiría que la aprobación de decisiones fundamentales corresponda a la junta de gobierno local con exclusión de los concejales de la oposición y sin la participación del órgano local en el que se residencia el principio representativo (se citan las SSTC 103/2013 y 161/2013). Se habría vulnerado igualmente el artículo 135 CE, por cuanto que la legislación básica habría contradicho el artículo 23.4 de la Ley Orgánica 2/2012, que atribuye al pleno la aprobación de los planes de la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9 de septiembre de 2014, el Pleno del Tribunal Constitucional acuerda admitir a trámite el presente conflicto en defensa de la autonomía local, dar traslado de la demanda y documentos presentados al Congreso de los Diputados, al Senado y al Gobierno, al objeto de que puedan personarse en el proceso y formular las alegaciones, y ordenar la publicación de la incoación del recurso en el “Boletín Oficial del Estado”; publicación que se produce en el núm. 223 de 13 de septiembre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18 de septiembre de 2014, el Presidente del Congreso de los Diputados comunica el acuerdo de la Mesa de la Cámara de personarse en el proceso ofreciendo su colaboración a los efectos del artículo 88.1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23 de septiembre de 2014, el Abogado del Estado, en la representación que legalmente ostenta, comparece en el proceso y solicita prórroga por el máximo legal del plazo concedido para formular alegaciones habida cuenta del número de asuntos que penden en la Abogacía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24 de septiembre de 2014, el Presidente del Senado comunica el acuerdo de la Mesa de la Cámara de personarse en el proceso ofreciendo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24 de septiembre de 2014 el Pleno del Tribunal Constitucional acuerda tener por personado al Abogado del Estado en la representación que legalmente ostenta y conceder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en la representación que legalmente ostenta, presenta el 22 de octubre de 2014 en el registro general de este Tribunal Constitucional su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brevemente el contenido del conflicto en defensa de la autonomía local, el Abogado del Estado realiza una serie de consideraciones destinada a contextualizar la Ley 27/2013. Describe ampliamente el marco normativo europeo y nacional relativo a la estabilidad presupuestaria y a la sostenibilidad financiera. A la vista del artículo 3 del Tratado de Estabilidad, Coordinación y Gobernanza en la Unión Europea y Monetaria, firmado por España el 2 de marzo de 2012, los presupuestos de las Administraciones públicas deben estar equilibrados o en superávit. Tras referirse a la legislación nacional adoptada a partir de 2001 en orden a la consecución de la estabilidad y crecimiento económicos, el Abogado del Estado se detiene en la incorporación de la exigencia de estabilidad presupuestaria en la Constitución (reforma del art. 135 CE de 27 de septiembre de 2011), que vino “justificada por el propio significado de la Unión Económica y Monetaria” (cita el dictamen 164/2012 del Consejo de Estado). La reforma representa la primera apertura expresa de la Constitución al ordenamiento europeo y consagra una nueva atribución de competencias. La Ley Orgánica 2/2012 desarrolla el artículo 135 CE e incorpora las exigencias europeas de estabilidad presupuestaria. Sus medidas resultan necesarias para dar cumplimiento, no solo al mandato constitucional, sino también a los compromisos de España ante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27/2013 proviene del plan nacional de reformas 2013 remitido por el Consejo de Ministros a la Unión Europea, que pretende perseverar en la corrección de los desequilibrios presupuestarios y sentar las bases de la recuperación económica y de la creación de empleo. La Ley 27/2013 no es desarrollo estricto del nuevo artículo 135 CE, pero responde al objetivo de traducir sus principios en esta relevante parte de la Administración pública española a través de las siguientes medidas: actualización de las competencias municipales, fortalecimiento de las diputaciones provinciales, cobertura presupuestaria completa del coste de las competencias delegadas, garantías de estabilidad presupuestaria en los convenios interadministrativos y en el ejercicio de la iniciativa local para el desarrollo de actividades económicas, impulso del redimensionamiento del sector público local, gestión eficiente y sostenible de los servicios públicos, sistema retributivo responsable y homogéneo y fortalecimiento de la función interventora municipal y el control interno.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títulos competenciales que soportarían la reforma, el Abogado del Estado se refiere a los apartados 18 y 14 del artículo 149.1 CE. El primero, sobre bases del régimen local, cubriría las regulaciones destinadas a concretar la autonomía constitucionalmente garantizada (arts. 137, 140 y 141.1 CE) y los restantes aspectos del régimen jurídico básico de todos los entes locales, “sin que quepa equiparar ‘régimen local’ o ‘régimen jurídico de las Administraciones locales’ con ‘autonomía local’” porque “los imperativos constitucionales derivados del artículo 137 CE, por un lado, y del artículo 149.1.18 CE, por otro, no son coextensos” (SSTC 11/1999, de 11 de febrero, FJ 2, y 240/2006, de 20 de julio, FJ 8). La regulación del régimen local incluida en los Estatutos autonómicos reformados a partir de 2006 debería entenderse “sin perjuicio de las relaciones que el Estado puede legítimamente establecer con todos los entes locales” (STC 31/2010, de 28 de junio, FJ 36). Las previsiones estatutarias “deben respetar en todo caso la competencia básica que al Estado corresponde en la materia” (STC 143/2013, de 11 de julio, FJ 36; se cita también la STC 103/2013, de 25 de abril). Tales previsiones interiorizarían el régimen local en cada Comunidad Autónoma en el sentido de que proporcionan guía al legislador autonómico, pero debería prevalecer la norma básica estatal, si entrara en conflicto con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149.1.14 CE, sobre hacienda general, cubriría específicamente la normativa estatal sobre las instituciones comunes a las distintas haciendas, la coordinación entre las haciendas estatal y local y garantía de la suficiencia financiera de los entes locales prevista en el artículo 137 CE (STC 233/1999, de 16 de diciembre, FJ 4, y las Sentencias que allí se citan). La estrecha vinculación entre el régimen local y la hacienda local justificaría que la Ley de racionalización y sostenibilidad de la Administración local cite conjuntamente ambos títulos, tal como ha admitido la doctrina constitucional (STC 233/1999), sin perjuicio de que varias de sus disposiciones serían directamente incardinables en el artículo 149.1.14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refiere específicamente después a las impugnaciones del presente conflicto en defensa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artículos 25.2, 26.2 y 116 ter LBRL, en la redacción dada por los apartados 8, 9 y 31, respectivamente, del artículo 1 de la Ley 27/2013, no producirían el desapoderamiento competencial denunciado.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Respecto del artículo 25.2 LBRL, el Abogado del Estado afirma que garantiza que las leyes atribuyan mínimos competenciales y, con ello, que doten de contenido a la garantía constitucional de la autonomía local. El listado de materias dentro de las que “en todo caso” los municipios deben disponer de competencias propias no puede interpretarse en el sentido limitador y excluyente que propone el recurso. Los apartados 3, 4 y 5 introducen condiciones legales que operan a partir de la nueva configuración que el artículo 135 CE ha producido sobre la legalidad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Respecto de la impugnación del artículo 26.2 LBRL, se afirma que el legislador estatal, en ejercicio de su amplio margen de configuración (SSTC 240/2006, 157/2011, 121/2012 y 108/2013) y en consonancia con la honda tradición de la provincia dentro del ordenamiento español (sucintamente resumida), ha optado por revitalizarla para la consecución de fines constitucionales (eficacia, eficiencia y estabilidad presupuestaria); favorece la gestión coordinada en detrimento de la gestión municipal aislada porque ello permite aplicar economías de escala y realizar una más eficiente asignación de recursos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controvertida persigue la mayor calidad de los servicios al menor costo posible mediante cuatro elementos. En primer lugar, la gestión coordinada está prevista para municipios de menos de 20.000 habitantes en el entendido de que los de mayor población disponen de una organización e ingresos que permiten la prestación eficiente de los servicios públicos. En segundo lugar, tal gestión se aplica a servicios concretos, tasados y predeterminados. Se trata de servicios que, por su configuración y naturaleza, admiten una eficaz prestación desde una perspectiva supramunicipal. La prestación coordinada de un máximo de seis servicios en modo alguno puede suponer un desapoderamiento de las competencias municipales. En tercer lugar, el criterio determinante de la aplicación de estas fórmulas de cooperación es el “coste efectivo”, como elemento objetivo, ponderable, fácilmente calculable y cierto de acuerdo con el artículo 116 ter LBRL. En cuarto lugar, el legislador básico ha desarrollado el principio constitucional de coordinación (art. 103.1 CE) como técnica de acomodación de competencias en un Estado complejo.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orden de ideas, el Abogado del Estado destaca que el artículo 26.2 LBRL presupone y activa la intervención de tres Administraciones territoriales. En primer lugar, hay la intervención decisiva del propio municipio. El mecanismo solo actúa con su previo consentimiento y siempre de modo reversible; el municipio puede recuperar después la gestión aislada si acredita que está supondrá un menor coste efectivo. De modo que conservaría la facultad de “adherirse” o “descolgarse” de esta forma de coordinación por lo que su autonomía en nada resultaría afectada. En segundo lugar, hay la intervención de la Administración general del Estado; su competencia en materia de hacienda general y bases del régimen local se concreta aquí en la aprobación de la propuesta de la diputación, configurada como control de estricta legalidad que atiende exclusivamente al cumplimiento del criterio de suficiencia financiera precisado en el artículo 7 de la Ley Orgánica 2/2012. Hay también el informe preceptivo de la Comunidad Autónoma que ostenta la tutela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el nuevo artículo 26.2 LBRL hallaría cobertura en las competencias atribuidas al Estado en materia de hacienda general y bases del régimen local (art. 149.1.14 y 18 CE) y no vulneraría la autonomía municipal (arts. 137 y 140 CE). También respetaría escrupulosamente el principio democrático. Los miembros de las diputaciones son concejales elegidos en cada uno de los municipios de la provincia de acuerdo con el número de votos obtenidos por cada partido, coalición o agrupación (arts. 204 y 205 de la Ley Orgánica 5/1985, de 19 de junio, del régimen electoral general). El carácter indirecto de esta elección no resta un ápice de legitimidad democrática como tampoco lo hace la elección indirecta del alcalde, por los concejales de la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Respecto del artículo 116 ter LBRL, el Abogado del Estado razona lo siguiente. El “coste efectivo” se calcula de modo absolutamente objetivo, cierto y seguro. En ejecución de la remisión reglamentaria incluida en la previsión impugnada, el proyecto de orden del Ministerio de Hacienda ha establecido criterios armónicos y comparables que arrojan una información fidedigna para cada uno de los servicios. Distingue los costes “directo” e “indirecto”. El primero incluye gastos corrientes de bienes y servicios, de personal y los derivados de amortización de inversiones y, en su caso, las cuotas de arrendamientos financieros. El segundo es el imputado a cada programa o grupo de programas en proporción al volumen de gasto. En casos de gestión indirecta de servicios públicos, se corresponde con la totalidad de las contraprestaciones que abona el ente local al concesionario así como las eventuales subvenciones de explotación o cobertura del precio. Si la retribución se percibe por medio de tarifas, el coste efectivo es el importe pagado por el usuario más, en su caso, las subvenciones de cobertura del precio del servicio.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finalidad de la medida sería posibilitar que los ciudadanos y los entes locales conozcan el coste que supone la prestación de cada servicio por habitante. Se trata de dotar a los electores y a los responsables públicos de información muy valiosa. A su vez, el coste efectivo es determinante de la coordinación de determinadas competencias (art. 26.2 LBRL) y del contenido de los planes provinciales de cooperación para la prestación de obras y servicios (art. 36.2 LBRL). El efecto jurídico esencial del cálculo del coste efectivo se produce de forma “relativa” y “comparada”; la posibilidad de que la diputación asuma la coordinación de la prestación de determinados servicios si el municipio no los presta a un coste efectivo inferior. Tal consecuencia se produce siempre a través de la comparación de los costes efectivos de prestación del servicio de la concreta provincia y del municipio en particular. Por tanto, se tienen en cuenta elementos que concurren en el entorno económico y geográfico de ambas entidades, lo que no genera desigualdades ni discriminaciones con entidades enclavadas en otros entornos que pueden prestar sus servicios a costes inferiores.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refiere en fin al Dictamen 338/2014, de 22 de mayo, del Consejo de Estado, sobre la interposición del conflicto en defensa de la autonomía local frente a la Ley 27/2013. Este órgano consultivo ha tenido la oportunidad de pronunciarse sobre el concepto de “coste efectivo” que ha sustituido al concepto de “coste estándar”, que había merecido consideraciones críticas en el Dictamen 567/2013, de 26 de junio, en relación con el anteproyecto de la Ley 27/2013. El nuevo concepto mereció la siguiente valoración: “a resultas de estas observaciones, el texto definitivo de la Ley 27/2013 ha sustituido el concepto de ‘coste estándar’ por el de ‘coste efectivo’ de los servicios en los artículos 26.2 y 116 ter LBRL. La noción de ‘coste efectivo’ introducida en el texto definitivo de la Ley 27/2013 es conceptualmente más precisa que la de ‘coste estándar’ y, desde esta perspectiva, los problemas que suscitaba la falta de concreción de este último concepto ya no se manifiestan en la misma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artículos 7.4, 57.3, 85.2, 92 bis y 116 bis LBRL, en la redacción dada por los apartados 3, 16, 21, 25 y 30 del artículo 1 de la Ley 27/2013, así como los artículos 213, tercer párrafo, y 218 del Real Decreto Legislativo 2/2004, en la redacción dada por los apartados 2 y 3 del artículo 2 de la Ley 27/2013, y la disposición adicional novena LBRL, en la redacción dada por el artículo 1.36 de la Ley 27/2013, no establecerían los mecanismos de tutela, condicionantes y controles de oportunidad a los que se refieren los municipios promotores del conflicto en defensa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al artículo 7.4 LBRL, el Abogado del Estado parte de que ahora se distinguen tres tipos de competencias locales: las propias, que son las determinadas por ley (art. 25.2), las delegadas por el Estado y las Comunidades Autónomas (art. 27) y las demás, que son las que, diferenciadas de las anteriores, quedan sometidas al régimen del artículo 7.4 LBRL. La enumeración de competencias de una u otra clase supone un abanico lo suficientemente amplio para entender respetada la garantía constitucional de la autonomía local, que es el límite a la libertad de configuración con que cuenta el legislador básico. La cuestión de si las competencias locales deben atribuirse como propias o delegadas, respetando un contenido constitucional mínimo, pertenece a la libertad de configuración del legislador básico estatal. Con relación a las competencias distintas de las propias y de las atribuidas por delegación, el artículo 7.4 LBRL permitiría ampliar el ámbito de gestión de los entes locales con nuevas competencias que habrán de ejercerse con toda autonomía. Tal ampliación se sujeta a una serie de condiciones e informes que cuentan con una justificación objetiva y razonable: que no se produzca la ejecución simultánea del mismo servicio público y que no se ponga en riesgo la sostenibilidad financiera del conjunto de la hacienda municipal. Se habría conciliado así la garantía mínima prevista en los artículos 137, 140 y 141 CE con los condicionamientos que impone el artículo 135 CE. En definitiva, en modo alguno podría decirse que la nueva ordenación básica de las competencias locales, con la supresión del artículo 28 LBRL, vulnere la garantía constitucional mínima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artículo 57.3 LBRL pretendería poner coto a una situación de dispersión, falta de información y utilización abusiva de la figura del consorcio como modo de externalización de recursos y controles propios de las entidades locales que lo conforman. El artículo 10.1 de la Carta Europea de Autonomía Local no establece un derecho ilimitado y absoluto de asociación municipal sino en los términos y con los límites que en cada caso establezca el legislador nacional en base a la competencia atribuida al Estado en el artículo 149.1.18 CE (STC 50/1999, FJ 3). La Ley 27/2013 en absoluto supondría la imposición de sacrificios al asociacionismo local, ni siquiera condiciona de modo determinante e irreversible esta facultad de las entidades locales. Finalmente, en ningún caso la Constitución exigiría que la ley explicite las razones o motivos de la concreta regulación de una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Respecto del artículo 85.2 LBRL, se afirma que el Estado ha ejercido su competencia sobre régimen jurídico de las Administraciones públicas (art. 149.1.18 CE) y hacienda general (art. 149.1.14 CE) para garantizar que los entes locales elijan la forma de prestación de los servicios dentro de unos criterios de eficiencia, eficacia y sostenibilidad en el manejo de los fondos públicos; criterios que son lógicos, elementales y acordes con el artículo 135 CE. En consonancia con la doctrina constitucional (STC 143/2013, de 5 de abril, FJ 7), el precepto no coartaría la libertad de organización de la entidad local, limitándose a imponer dos requisitos a la opción favorable a formas prestacionales de carácter empresarial. Uno es material (mayor eficiencia y sostenibilidad de la prestación) y trasunto de los principios de eficacia administrativa (art. 103 CE) y eficiencia (art. 7.2 de la Ley Orgánica 2/2012). El otro requisito es formal; la justificación de esa opción en una memoria. Se afirma —con cita del Dictamen 338/2014 del Consejo de Estado— que la autonomía local no puede amparar la elección de modalidades de gestión directa de los servicios públicos locales menos eficientes o sostenibles; no se advierte qué ventajas aportaría la constitución de una entidad pública empresarial o sociedad mercantil local que resultara menos eficiente que la prestación del servicio por la propia entidad.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En cuanto al artículo 92 bis LBRL y los artículos 213 y 218 del Real Decreto Legislativo 2/2004, el Abogado del Estado realiza primero una serie de consideraciones históricas. La Ley reguladora de las bases de régimen local desdibujó los antiguos cuerpos de secretarios, interventores y depositarios de la Administración local, que pasaron a denominarse “funcionarios con habilitación nacional”. No obstante, conservó sus funciones al considerar la secretaría, así como el control y fiscalización de la gestión económico-financiera, presupuestario y la contabilidad, tesorería y recaudación como tareas necesarias de toda corporación reservadas a “funcionarios con habilitación de carácter nacional” (art. 92.3). La disposición adicional segunda de la Ley 7/2007, de 12 de abril, del estatuto básico del empleado público (LEEP) transfirió a las Comunidades Autónomas las competencias sobre creación, clasificación y supresión de puestos de trabajo, la convocatoria de la oferta de empleo público, la provisión de puestos de trabajo y el régimen disciplinario. La excesiva dispersión normativa desembocó en el recurso excesivo y desproporcionado a expedientes disciplinarios, así como a una utilización abusiva de la libre designación y consiguientes ceses discrecionales de secretarios e interventores con menoscabo de las funciones nucleares de control de legalidad y financiero. Se ha generado así una situación de pérdida de la mínima independencia e imparcialidad imprescindibles para el correcto funcionamiento de la Administración local. Un informe del Tribunal de Cuentas (“BOE” de 5 de abril de 2007) propuso, entre otras medidas, el desarrollo reglamentario del régimen estatutario de los funcionarios de habilitación nacional, así como la reducción de los puestos de libre designación.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sumisión de la entidad local a la legalidad y al control financiero requiere de una regulación de los cuerpos de funcionarios encargados de asegurarla que potencie su imparcialidad e independencia. A este respecto, la Ley 27/2013, a la vez que deroga la disposición adicional segunda LEEP, da una nueva redacción al artículo 92 LBRL e introduce un nuevo artículo 92 bis LBRL. El precepto determina el conjunto de normas aplicables a estos funcionarios, establece el principio general de que los puestos de trabajo serán desempeñados por funcionarios y acota las funciones que en exclusiva corresponden a los funcionarios de carrera. El artículo 92 bis regula las líneas esenciales del régimen jurídico de estos funcionarios. La asunción de competencias por parte del Estado con relación a estos funcionarios en nada afectaría a la autonomía local; los municipios quedan subordinados, no al Estado, sino a la ley. A su vez, tal regulación podría calificarse de básica a la vista de las SSTC 25/1983, 214/1999 y 37/2002 y del dictamen 567/2013 del Consejo de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constitucional (STC 233/1999), el artículo 213 resultaría amparado por el artículo 149.1.14 CE, tal como ha precisado el dictamen 338/2014 del Consejo de Estado; la previsión sería consecuencia, no de la caracterización de los interventores de la Administración local como funcionarios con habilitación de carácter nacional, sino de la competencia estatal sobre la hacienda general. Tal título facultaría al Estado para establecer mecanismos de fiscalización y control interno sobre los entes locales de carácter uniforme que permitan formular políticas de alcance general o adoptar medidas en relación con sus competencias. La previsión controvertida no constituiría un estricto y verdadero control sobre la Administración local, sino un mandato al gobierno para que armonice mecanismos, procedimientos y criterios de seguimiento y control de la actividad económica financiera con la razonable finalidad de que todas las entidades locales apliquen el mismo sistema de verificación y adaptación a la legalidad de su actividad financiera. La remisión reglamentaria en absoluto implicaría una relación de subordinación jerárquica entre Administraciones, sino una forma de coordinación e interacción entre 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artículo 218 del Real Decreto Legislativo 2/2004, la función de información al pleno que allí se regula coadyuvaría a que el órgano representativo de la corporación local cuente con más trasparencia y criterio decisorio. La nueva redacción introduce tres formas nuevas de control. Respecto de la primera (introducción en el orden del día de las decisiones del Presidente contrarias a los reparos efectuados), se destaca su funcionalidad; que todos los miembros del pleno tomen cabal conocimiento de los reparos realizados y puedan ejercer funciones de control político. En cuanto a la segunda (elevación de las discrepancias a la Administración responsable de la tutela financiera), el Abogado del Estado insiste en que la doctrina constitucional ha respaldado las competencias de tutela financiera de los entes locales. Con relación a la tercera (elevación al Tribunal de Cuentas de las resoluciones y acuerdos adoptados por el pleno y el Presidente contrarios a los reparos efectuados), se subraya que los municipios preservan la capacidad decisoria respecto de los reparos realizados por la Intervención.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Respecto de la impugnación del artículo 116 bis LBRL, el Abogado del Estado razona que el precepto sería un desarrollo singularizado —que atiende a la especificidad de los entes locales— del artículo 21 de la de la Ley Orgánica 2/2012, que regula el contenido mínimo del plan económico-financiero de toda Administración incumplidora de los objetivos de estabilidad presupuestaria, de deuda pública o de la regla de gasto. La Ley reguladora de las bases de régimen local incluiría así el desarrollo de un precepto que admite incluso el complemento reglamentario, a tenor de la disposición final primera de la Ley Orgánica 2/2012. No incurriría por ello en vulneración de la reserva de ley orgánica prevista en el artículo 135.5 CE. La reserva de ley orgánica admite un cierto grado de colaboración internormativa (STC 137/1986, de 6 de noviembre). Se trae a colación la doctrina constitucional sobre el artículo 122.1 CE (SSTC 38/1982, de 22 de junio; 60/1986, de 20 de mayo; 108/1986, de 26 de julio; 56/1990, de 29 de marzo, y 224/1993, de 1 de julio). Se reserva a un texto unitario —la Ley Orgánica del Poder Judicial— la configuración de los distintos órdenes jurisdiccionales, la definición genérica de su ámbito de conocimiento litigioso, los tipos genéricos de órgano judicial y las divisiones territoriales en que se organiza el Estado a efectos judiciales. No obstante, la reserva no alcanza a la creación en concreto de órganos judiciales, la planta ni la demarcación.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 del artículo 116 bis incluye una regulación más pormenorizada del plan regulado por la Ley Orgánica 2/2012 que no lesiona la autonomía local. Refiriéndose al citado Dictamen del Consejo de Estado, el Abogado del Estado razona que el contenido mínimo de los planes económico-financieros de los entes locales se explica en el contexto de una situación de incumplimiento de los objetivos de estabilidad presupuestaria, de deuda pública o de la regla de gasto. Corresponde al propio ente local incumplidor concretar las competencias que deben suprimirse que, en todo caso, no podrán ser las ejercidas como propias o por delegación [letra a)]. La gestión integrada o coordinada de los servicios obligatorios es una elemental medida de reducción de costes ante el incumplimiento de los parámetros de estabilidad presupuestaria o sostenibilidad financiera [letra b)]. Aparece enunciada con amplitud suficiente para que los entes locales puedan decidir las formas de gestión más apropiadas en cada caso. Las entidades locales siguen teniendo capacidad para determinar las fuentes y la cuantía del “incremento de ingresos” necesario para financiar los servicios obligatorios [letra c)]. También permanece intacta su capacidad de decisión para la adopción de medidas de “racionalización organizativa” [letra d)], sin perjuicio de la necesidad de contemplar la supresión de entidades de ámbito territorial inferior al municipio [letra e)] o la fusión con municipios colindantes [letra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refiere a las funciones atribuidas a la diputación provincial (o entidad equivalente) de asistencia a los entes locales y colaboración con la Administración encargada de la tutela financiera, en la elaboración y en el seguimiento de las medidas del plan económico-financiero (apartado 3 del art. 116 bis LBRL). No se incumpliría la competencia de la Comunidad Autónoma para ejercer la tutela financiera (art. 23.4 de la Ley Orgánica 2/2012). La LBRL coloca a la diputación provincial en una posición de mera colaboración, que se funda en las nuevas tareas asignadas a estos entes locales (art. 36). Su colaboración en la confección y seguimiento de estos planes, que pueden implicar fusión de municipios, es imprescindible. Se afirma que tal colaboración debería producirse en todo caso, aunque no estuviera específicamente prevista en la Ley, por virtud de las funciones que corresponden a la diputación provincial con carácter general. Respecto de la alegada vulneración del artículo 150 del Estatuto de Autonomía de Cataluña (EAC), el Abogado del Estado se remite a anteriores alegaciones y a la STC 31/2010.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Respecto de la disposición adicional novena LBRL, el Abogado del Estado señala, en primer término, que nada se alega respecto de los apartados 1, 3 y 4; los municipios recurrentes habrían puesto el foco en el apartado 2, que prevé la disolución y liquidación ope legis de entidades municipales. Respecto de esta impugnación, el Abogado del Estado se remite al dictamen 338/2014 del Consejo de Estado, añadiendo las consideraciones siguientes. El desequilibrio financiero de una entidad del sector público local no le afecta solo a ella; repercute sobre el conjunto de la hacienda local en la medida en que la corporación territorial habrá de corregirlo. La disposición controvertida permite que el plan de corrección del desequilibrio prevea aportaciones patrimoniales por parte de la corporación local “matriz” con la condición de que esté en una situación saneada, equilibrada y sostenible y con el fin de que, ejecutado el plan, tal situación quede subsanada. Se insiste en que los plazos se amplían en un año cuando se trata de servicios esenciales para la comunidad. A su vez, los recurrentes confundirían sostenibilidad con estabilidad. No se podría aceptar que la previsión impugnada contraviene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disposición adicional decimosexta LBRL, introducida por el artículo 1.38 de la Ley 27/2013, el Abogado del Estado menciona primero las SSTC 103/2013 y 161/2013, de 26 de septiembre; su doctrina reforzaría el carácter democrático de la junta de gobierno a la vez que subrayaría su configuración, no solo como órgano administrativo o ejecutor de las decisiones del pleno, sino también como titular de competencias propias.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impugnada no vulneraría el principio democrático (art. 1.1 CE), al que se conectan el artículo 23 CE y la vertiente organizativa de la autonomía local. En primer lugar, la excepcionalidad es el presupuesto para que la aprobación de los instrumentos enumerados pase del pleno a la junta de gobierno local. Los términos manejados son suficientemente expresivos de que la medida sirve solo para afrontar situaciones de excepcional y urgente necesidad por motivos financieros, cuando está en riesgo la estabilidad presupuestaria y la sostenibilidad de la entidad local. La medida evitaría demoras en la necesaria y urgente aprobación de instrumentos básicos de contenido complejo y técnico que precisan una decisión rápida en el contexto de los problemas financieros. Evitaría los daños que la inacción del pleno podría causar al interés municipal así como la aplicación de medidas coactivas mucho más intensas; las previstas en la Ley Orgánica 2/2012. En segundo lugar, la junta de gobierno local es un órgano que cuenta con legitimidad democrática y su decisión podría ser censurada y dejada sin efecto por el pleno. El precepto señala claramente que debe darse cuenta al pleno de la aprobación de aquellos instrumentos. Conforme a la Ley reguladora de las bases del régimen local, la junta de gobierno local “responde políticamente ante el Pleno de su gestión de forma solidaria, sin perjuicio de la responsabilidad directa de cada uno de sus miembros por su gestión” (art. 126.3) y a este órgano corresponde “el control y fiscalización de los órganos de gobierno” [art. 22.2 a)]. No existiría duda sobre la primacía de este órgano representativo; una decisión negativa del pleno a cualquiera de estos acuerdos los dejaría sin efecto. La decisión legal sería, por tanto, necesaria, adecuada a la finalidad pretendida y 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disposición adicional decimosexta LBRL, de la misma manera que no vulnera el principio democrático, no vulneraría tampoco el artículo 23.2 CE; las personas integrantes de la corporación local pueden ejercer su derecho a ser informadas y pueden también proponer la censura o censurar las decisiones adoptadas por los órganos de carácter ejecutivo. Conforme a lo establecido por el Tribunal Constitucional, las sesiones de las juntas han de ser públicas para que tanto los concejales como los ciudadanos conozcan su desarrollo. Tampoco concurriría la vulneración del principio de autonomía local. Al revés, el propósito de la norma sería coadyuvar a la solución de un grave problema financiero sin prever decisiones estatales en sustitución de las locales. A su vez, se prevé que sean órganos democráticos y representativos (el alcalde y los concejales de la junta) quienes adopten las decisiones. Que se traslade la competencia del pleno a la junta podrá ser controvertido, pero no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19 de septiembre de 2017, se señaló para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Doña Virginia Aragón Segura, Procuradora de los Tribunales, en nombre y representación de 2.393 municipios, formula conflicto en defensa de la autonomía local con relación a varios preceptos de la Ley 7/1985, de 2 de abril, reguladora de las bases del régimen local (LBRL) y del texto refundido de la Ley reguladora de las haciendas locales, aprobado por Real Decreto Legislativo 2/2004, de 5 de marzo, en la redacción dada por la Ley 27/2013, de 27 de diciembre, de racionalización y sostenibilidad de la Administración local, por vulneración de la autonomía local constitucionalmente garantizada (arts. 137, 140 y 141 CE). El Abogado del Estado no se opone a la admisión a trámite del conflicto ni, por tanto, cuestiona el cumplimiento de los artículos 75 bis a 75 quater LOTC, pero solicita su desestimación por considerar que los preceptos impugnados no vulneran los artículos 137, 140 y 141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es hasta la fecha el primer conflicto en defensa de la autonomía local formulado respecto de bases del régimen local y legislación estatal sobre haciendas locales. Bien porque este específico proceso constitucional no había sido aún creado por la Ley Orgánica 7/1999, de 21 de abril, bien porque los entes locales no trataron de incoarlo, lo cierto es que ni la Ley reguladora de las bases de régimen local ni el Real Decreto Legislativo 2/2004 ni sus diversas reformas habían sido objeto hasta el momento de conflictos en defensa de la autonomía local. El único precedente de un conflicto de este tipo admitido a trámite respecto de una ley estatal se refería a una norma dictada al amparo de la competencia estatal para legislar sobre el planeamiento urbanístico de las Ciudades Autónomas (STC 240/2006, de 20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27/2013 ha sufrido varias modificaciones que, no obstante, se refieren a preceptos no impugnados por los municipios recurrentes, sin que, por tanto, puedan afectar al objeto del presente proceso constitucional. Es el caso de la disposición transitoria séptima, modificada por la Ley 18/2015, de 9 de julio; y de la disposición final segunda, que añade la disposición adicional vigésima a la Ley 30/1992, derogada por la Ley 39/2015, de 1 de octubre, del procedimiento administrativo común de las Administraciones públicas [disposición derogatoria única, apartado 2 a)]. Por otra parte, el Real Decreto-ley 10/2015, de 11 de septiembre, ha reformado el apartado 2 del artículo 92 bis LBRL, introducido por el artículo 1.27 de la Ley 27/2013. Los municipios actores han impugnado el nuevo artículo 92 bis LBRL, pero alegando únicamente con relación a los apartados que centralizan determinadas tareas relativas a los funcionarios locales con habilitación de carácter nacional. Por tanto, tampoco esta reforma ha afectado al objeto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27/2013 ha sido ya objeto de las SSTC 41/2016, de 3 de marzo; 111/2016, de 9 junio; 168/2016, de 6 de octubre; 180/2016, de 20 de octubre; 44/2017, de 17 de abril; 45/2017, de 17 de abril; 54/2017, de 11 de mayo; 93/2017, de 6 de julio y 101/2017, de 20 de julio, resolutorias de los recursos de inconstitucionalidad interpuestos, respectivamente, por la Asamblea de Extremadura (núm. 1792-2014), el Gobierno de Andalucía (núm. 1959-2014), el Gobierno del Principado de Asturias (núm. 1995-2014), el Parlamento de Navarra (núm. 2001-2014), diputados del Congreso (núm. 2002-2014), el Parlamento de Andalucía (núm. 2003-2014), el Parlamento de Cataluña (núm. 1996-2014), el Gobierno de Cataluña (núm. 2006-2014) y el Gobierno de Canarias (núm. 2043-2014). Las indicadas Sentencias cobran relevancia en el presente proceso bajo los siguientes puntos de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presente conflicto impugna previsiones que ya han sido declaradas inconstitucionales y nulas por alguna de aquellas Sentencias: el artículo 26.2 LBRL, en la redacción dada por el artículo 1.9 de la Ley 27/2013, en los incisos “al Ministerio de Hacienda y Administraciones Públicas” y “para reducir los costes efectivos de los servicios el mencionado Ministerio decidirá sobre la propuesta formulada que deberá contar con el informe preceptivo de la Comunidad Autónoma si es la Administración que ejerce la tutela financiera.” [STC 111/2016, FJ 12 d)]; y la disposición adicional decimosexta LBRL, introducida por el artículo 1.38 de la Ley 27/2013 [STC 111/2016, FJ 8 f)]. De acuerdo con la doctrina constitucional [entre otras, las precitadas SSTC 111/2016, FJ 2 a); 168/2016, FJ 2 a); 180/2016, FJ 3 a); 44/2017, FJ 2 a); 45/2017, FJ 2 a); 54/2017, FJ 2 a), y 93/2017, FJ 2 a)], la expulsión del ordenamiento jurídico de estas previsiones determina la pérdida sobrevenida de objeto de las impugnaciones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 acuerdo con una pauta no infrecuente (a la que se han ajustado las SSTC 111/2016, 168/2016, 180/2016, 44/2017, 45/2017, 54/2017, 93/2017 y 101/2017), cabe dar aquí por reproducida la doctrina de las SSTC 41/2016 [FFJJ 9 y 11 b)], 111/2016 (FFJJ 11 y 12), 45/2017 [FJ 3 b)], 54/2017 [FJ 4 b)] y 101/2017 [FJ 5 a)] sobre el significado y alcance de la garantía constitucional de la autonomía local. También los fundamentos jurídicos que la STC 41/2016 dedica a la presentación de la Ley 27/2013 (FFJJ 2 y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ayuntamientos recurrentes han promovido el presente conflicto en cuanto titulares de una esfera propia de autonomía constitucionalmente garantizada (arts. 137 y 140 CE) y en defensa de ella: el conflicto en defensa de la autonomía local como tipo de proceso constitucional tiene la “misión exclusiva de refuerzo de un ámbito subjetivo de autonomía”, lo que explica tanto el estricto régimen de legitimación establecido —“pueden acceder a esta vía cualificada de tutela aquellos entes locales que, viéndose directamente concernidos por la norma impugnada, alcancen una determinada representatividad de entre todos los entes afectados”— como la restricción de su objeto —“puede articularse en razón de un único motivo de inconstitucionalidad”, la vulneración de la autonomía local, sin que pueda “alegarse con ocasión del mismo otras vulneraciones distintas del texto constitucional”— (STC 27/2016, de 18 de febrero, FJ 3; en el mismo sentido, con otras palabras: SSTC 37/2014, de 11 de marzo, FJ 3; 95/2014, de 12 de junio, FJ 5; 132/2014, de 22 de julio, FJ 5, y 240/2016, FJ 3). En cambio, al interponer los recursos de inconstitucionalidad contra la Ley 27/2013 que este Tribunal ya ha resuelto, las instituciones autonómicas y los diputados del Congreso, cuando han razonado incumplimientos de los artículos 137, 140 y 141 CE, no han defendido intereses propios: “la facultad de promover el recurso de inconstitucionalidad no la otorga la Constitución en atención a un interés propio de quienes la reciben, sino en virtud de la alta cualificación política que resulta de su cometido constitucional. No se defiende mediante este recurso ningún interés o derecho propio sino el interés general y la supremacía de la Constitución” (STC 42/1985, de 15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Naturalmente, no por ello nuestro escrutinio ha de ser aquí más intenso ni la doctrina constitucional de las Sentencias citadas deja de ser aplicable. Sin embargo, que estemos ante un conflicto promovido por múltiples ayuntamientos españoles en defensa de su autonomía frente a una profunda reforma de la legislación estatal sobre bases del régimen local y haciendas locales no está exento de consecuencias. Los municipios recurren la Ley 27/2013 porque, afirman, vulneraría su autonomía constitucionalmente garantizada al atribuir determinados poderes a las Comunidades Autónomas, razonando así motivos de impugnación que, naturalmente, no han planteado los gobiernos y parlamentos autonómicos. En general, al considerar que determinados preceptos de esta Ley perjudican gravemente intereses propios, han proporcionado argumentaciones desarrolladas, más que (y diferentes de) las de los citados recursos de inconstitucionalidad; esto exigirá esfuerzos correlativos por parte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Ahora bien, hay supuestos en que el presente conflicto y aquellos recursos vierten, respecto del mismo precepto, los mismos razonamientos impugnatorios. De acuerdo con la doctrina constitucional (STC 172/1998, de 23 de julio, FJ 2) y siguiendo la pauta aplicada ya en las SSTC 111/2016, FJ 2 c); 168/2016, FJ 2 c); 180/2016, FJ 3 c); 44/2017, FJ 3 d); 45/2017, FJ 3 d); 54/2017, FJ 3 d); 93/2017, FJ 3 d), y 101/2017, FJ 2 c), cabe desestimar por remisión estas impugnaciones en los términos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impugnan varios preceptos reguladores de las competencias locales, en general, y municipales, en particular, por vulneración de la garantía constitucional de la autonomía local (arts. 137, 140 y 141 CE): artículos 7.4 y 25.2 LBRL, en la redacción dada por los apartados 3 y 8, respectivamente, del artículo 1 de la Ley 27/2013. Corresponde descartar la vulneración denunciada por remisión a la STC 41/2016, FFJJ 10, 11 b) y 12 a),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al razonar que el artículo 7.4 LBRL vulnera su autonomía constitucionalmente garantizada, los municipios recurrentes desarrollan argumentos nuevos a los que habremos de responder específicamente.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 recurre el artículo 26.2 LBRL (en la redacción dada por el artículo 1.9 de la Ley 27/2013) sobre la “coordinación” (voluntaria) de determinados servicios en municipios de menos de 20.000 habitantes. Según hemos precisado ya, la impugnación ha perdido objeto en lo relativo a los incisos “al Ministerio de Hacienda y Administraciones Públicas” y “para reducir los costes efectivos de los servicios el mencionado Ministerio decidirá sobre la propuesta formulada que deberá contar con el informe preceptivo de la Comunidad Autónoma si es la Administración que ejerce la tutela financiera.”. En lo demás, corresponde descartar la vulneración denunciada de la garantía constitucional de la autonomía municipal (arts. 137 y 140 CE) por remisión a las SSTC 111/2016, FJ 12 d), y 45/2017, FJ 2 d), que han dado respuesta a los mismos reproches.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al razonar que el artículo 26.2 LBRL vulnera su autonomía constitucionalmente garantizada, los municipios actores añaden motivos impugnatorios a los que daremos respuesta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Se impugna el artículo 57.3 LBRL (en la redacción dada por el artículo 1.16 de la Ley 27/2013) porque, al condicionar la constitución de consorcios a que suponga una asignación más eficiente de recursos económicos, vulneraría la garantía constitucional de la autonomía local. Procede desestimar la impugnación por remisión a la STC 180/2016, FJ 7, que descartó la concurrencia del indicado motivo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Se impugna el artículo 85.2 LBRL (en la redacción dada por el artículo 1.21 de la Ley 27/2013) porque, al primar la gestión por la propia corporación o mediante organismo autónomo frente a la entidad pública empresarial y la sociedad mercantil, limitaría la capacidad municipal de autoorganización sin justificación alguna. Corresponde desestimar la impugnación de este motivo por remisión a la STC 41/2016,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También el artículo 92 bis LBRL (en la redacción dada por el artículo 1.25 de la Ley 27/2013), sobre los funcionarios locales con habilitación de carácter nacional, ha sido impugnado por un motivo, igualmente vinculado a la garantía constitucional de la autonomía local, ya examinado y desestimado por la STC 45/2017,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Del mismo modo, el artículo 116 bis LBRL (introducido por el art. 1.30 de la Ley 27/2013), sobre el plan económico-financiero de las corporaciones locales, ha sido impugnado por un motivo de inconstitucionalidad ya desestimado en la STC 180/2016, FJ 8, a la que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al razonar que este precepto vulnera su esfera de autonomía garantizada por la Constitución, los municipios promotores del conflicto añaden un argumento que habremos de abordar específicamente.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Respecto del artículo 116 ter LBRL (en la redacción dada por el artículo 1.31 de la Ley 27/2013), los municipios recurrentes plantean el mismo motivo impugnatorio que formuló el recurso de inconstitucionalidad del Gobierno de Andalucía. Desestimado en la STC 111/2016, FJ 12 b), corresponde volver a desestimarlo por remisión a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Se impugna la disposición adicional novena LBRL (en la redacción dada por el artículo 1.36 de la Ley 27/2013), sobre “redimensionamiento del sector público local”, por motivos ya desestimados en las SSTC 44/2017, FJ 3, y 101/2017, FJ 5 b), a las que, en consecuencia,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al razonar que este precepto vulnera la garantía constitucional de su autonomía, los municipios recurrentes añaden un argumento que habremos de abordar específicamente.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Se impugnan los artículos 213 y 218 del Real Decreto Legislativo 2/2004, en la redacción dada por los apartados 2 y 3, respectivamente, del artículo 2 de la Ley 27/2013, por motivos de impugnación, todos vinculados a la garantía constitucional de la autonomía local, ya examinados y desestimados por las SSTC 111/2016, FJ 5; 44/2017, FJ 3, y 93/2017, FJ 5, a las que, en consecuencia,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municipios promotores del presente conflicto impugnan el artículo 7.4 LBRL, en la redacción dada por el artículo 1.3 de la Ley 27/2013. Razonan con mucho detalle que este precepto vulneraría su autonomía constitucionalmente garantizada (arts. 137 y 140 CE). Buena parte de sus argumentos han quedado ya respondidos y desestimados por remisión a la STC 41/2016, FFJJ 10, 11 b) y 12 c). No obstante, hay dos motivos que, no obteniendo respuesta directa en aquella Sentencia, procede abordar específicamente ahora, aclarando antes el significado y alcance del precepto controvertido.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sustitución de las reglas habilitantes generales incluidas en la redacción originaria del artículo 25.1 y en el derogado artículo 28, ambos LBRL, la previsión controvertida establece otra que permite a los ayuntamientos ejercer cualesquiera competencias relacionadas con la gestión de asuntos de interés municipal, pero con sujeción a determinadas condiciones materiales y formales. El ejercicio de tales competencias no requiere de una habilitación legal específica, pero es posible solo si: 1) no hay riesgo para la sostenibilidad financiera de la hacienda municipal; 2) no se produce la ejecución simultánea del mismo servicio con otra Administración; y 3) hay informe previo vinculante de la Administración competente por razón de la materia (que señale la inexistencia de duplicidades) y de la Administración que tenga atribuida la tutela financiera (sobre la sostenibilidad financiera de las nuevas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las competencias que el artículo 7.4 LBRL califica como “distintas de las propias y de las atribuidas por delegación” y que este Tribunal ha adjetivado más precisamente como “propias generales” (SSTC 41/2016, FJ 10, y 54/2017, FJ 3). Se distinguen de las competencias “propias” del artículo 25 LBRL o “propias específicas” [SSTC 54/2017, FJ 3 d), 93/2017, FJ 4, y 101/2017, FJ 4 b)], no por el nivel de autonomía de que dispone el municipio que las ejerce, sino por la forma en que están atribuidas; si las reguladas en el artículo 25 LBRL son competencias determinadas por la ley sectorial, las previstas en el artículo 7.4 LBRL están directamente habilitadas mediante una cláusula general básica, quedando su ejercicio sujeto a la indicada serie de condiciones (STC 41/2016,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exigencia de aquellos informes necesarios y vinculantes incide sobre la autonomía local: el ente local no podrá desplegar servicios, incluso de interés local exclusivo o predominante, sin la decisión favorable de otra instancia territorial. No obstante, hemos tenido oportunidad de subrayar, en primer lugar, el contexto normativo en el que se inserta el artículo 7.4 LBRL: “un modelo básico que atribuye directamente determinadas competencias a los entes locales (art. 26 LBRL), permite a las leyes (estatales y autonómicas) atribuir específicamente competencias propias o, incluso, obliga a que lo hagan ‘en todo caso’ dentro de determinados ámbitos materiales (art. 25.2 LBRL)” [STC 41/2016, FJ 11 b)]. Hemos destacado también, en segundo lugar, que los informes necesarios y vinculantes regulados en el artículo 7.4 LBRL no son, técnicamente, controles administrativos: son “técnicas para la delimitación de las competencias locales, no instrumentos que permiten a una Administración supralocal interferir en el desarrollo autónomo de las competencias locales efectivamente delimitadas o atribuidas”; obtenidos los informes favorables, “el ente local podrá llevar a cabo la tarea ‘en régimen de autonomía y bajo la propia responsabilidad, atendiendo siempre a la debida coordinación en su programación y ejecución con las demás Administraciones Públicas’ (art. 7.2 LBRL)” [STC 41/2016, FJ 11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Según los municipios promotores del conflicto, la prohibición de ejecución simultánea del mismo servicio incluida en el artículo 7.4 LBRL conllevaría la prohibición de las llamadas “actividades complementarias de las propias de otras Administraciones Públicas”, singularmente las de ámbito autonómico “relativas a la educación, la cultura, la promoción de la mujer, la vivienda, la sanidad y la protección del medio ambiente” (antiguo art. 28 LBRL). Antes de la Ley 27/2013, los municipios podían ejercer estas tareas “complementarias” al amparo de la cláusula general incluida en el artículo 28 LBRL. Tras la derogación de esta cláusula (art. 1.11 de la Ley 27/2013), la prohibición de “duplicidad” prevista en el artículo 7.4 LBRL vendría a impedir que los municipios lleven a cabo toda suerte de actividad “complementaria”, salvo la que pueda considerarse alojada en el artículo 25.2 LBRL, con el consiguiente sacrificio del autogobierno municipal. El legislador básico habría trazado así un paralelismo entre las actividades “complementarias” y las “duplicidades” que resultaría inadmisible, por cuanto que, en rigor, duplicidad habría solo cuando dos poderes públicos territoriales prestan el mismo tipo de acción a las mismas personas, grupos o entidades.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básico sigue habilitando directamente por sí a los municipios las llamadas “actividades complementarias de las propias de otras Administraciones Públicas”, en general, y las complementarias de las desarrolladas por las Comunidades Autónomas, en particular (antiguo art. 28 LBRL). Tal como señala la STC 41/2016, FJ 12 b), el nuevo artículo 7.4 LBRL, “al prever que los entes locales ‘podrán ejercer competencias distintas de las propias y de las atribuidas por delegación’”, viene a “atribuir directamente competencias locales en materias de competencia autonómica” y, en general, en cualesquiera ámbitos de interés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verdad que el ejercicio de tales competencias presupone la “inexistencia de duplicidades” o, más precisamente, que “no se incurra en un supuesto de ejecución simultánea del mismo servicio público con otra Administración Pública” (art. 7.4 LBRL). También que la prohibición de duplicidades competenciales opera, no solo cuando la Administración competente según la materia debe elaborar el informe del que depende que el ente local pueda desarrollar un determinado servicio como competencia “propia general” (art. 7.4 LBRL), sino también cuando el legislador pretende atribuir esos servicios como competencia “propia específica” mediante norma con rango de ley; conforme al artículo 25.5 LBRL, en la redacción dada por el artículo 1.8 de la Ley 27/2013, “la ley determinará la competencia municipal propia de que se trate, garantizando que no se produce una atribución simultánea de la misma competencia a otra Administración Pública”. De modo que el municipio que, por razón de la duplicidad competencial, no pueda hacer valer la cláusula general del artículo 7.4 LBRL para prestar un servicio, tampoco podrá, en principio, aspirar a que se lo atribuya específicamente una norma con rango de ley, lo que, en efecto, si se tratase de servicios de interés local exclusivo o predominante, pone en riesgo la autonomía municipal constitucionalmente garantizada (arts. 137 y 140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de acuerdo con el artículo 7.4 LBRL, una prestación no queda automáticamente excluida como servicio municipal por el solo hecho de replicar la desarrollada en otro nivel de gobierno, en general, o en el autonómico, en particular, que es el supuesto que importa específicamente a los municipios impugnantes cuando se refieren a las actividades “complementarias” del antiguo artículo 28 LBRL. La consecuencia de la duplicidad competencial no ha de ser necesariamente el informe contrario al despliegue de la prestación en el nivel municipal. Si el servicio que el municipio pretendiera “duplicar” fuese autonómico, la solución más ajustada a los principios de autonomía local (arts. 137, 140 y 141 CE) y de proximidad (art. 2.1 LBRL), puede ser el repliegue de la propia Administración autonómica y el consiguiente ejercicio de la competencia en el nivel local. Así, tendencialmente, cuando la ponderación de los intereses locales y autonómicos involucrados arroje un saldo favorable a los primeros.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que la Administración competente según la materia, si en el marco del artículo 7.4 LBRL, ante supuestos de efectiva ejecución simultánea, emitiera informe negativo fijándose solo en el dato de la duplicidad competencial, sin ponderar los intereses territoriales que pudieran justificar que sean otros niveles de gobierno —incluido el autonómico— quienes dejen de realizar el servicio, podría vulnerar la autonomía de los entes locales. La eventual vulneración sería imputable, no a la previsión controvertida, sino a una actuación administrativa que, en cuanto tal, es controlable por los órganos de la jurisdicción contencioso-administrativa [en parecido sentido, SSTC 51/2004, de 13 de abril, FJ 10, y 154/2015, FJ 6 e)]. La STC 41/2016, FJ 11 b), señala a este respecto que “las Administraciones que han de elaborar los informes previos están directamente vinculadas por la garantía constitucional de la autonomía local” y, por tanto, “son ellas —no el art. 7.4 LBRL— las que podrían llegar a incurrir en la vulneración denunciada si impidieran efectivamente en casos concretos una intervención local relevante en ámbitos de interés local exclusivo o predominante, sin perjuicio de los amplios márgenes de apreciación que abren los artículos 137, 140 y 141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no cabe identificar los conceptos de “complementariedad” y “duplicidad”. Ciertamente, la Ley 27/2013 no acota ni define los supuestos de “duplicidad” competencial; se limita a identificarlos con la “ejecución simultánea del mismo servicio público” por parte de dos Administraciones públicas. Pese a la indefinición normativa, un sencillo análisis semántico permite apreciar lo siguiente: una actividad “complementaria” en el sentido del antiguo artículo 28 LBRL no es, necesariamente, una actividad “duplicada” a efectos del nuevo artículo 7.4 LBRL, esto es, una tarea incursa por definición en la prohibición de “ejecución simultánea del mismo servicio público” por parte de varias Administraciones públicas. Como se desprende de las propias alegaciones de los ayuntamientos impugnantes, dentro de ámbitos materiales tales como la educación, la sanidad o la vivienda, los servicios municipales serán, en efecto, “complementarios” de las competencias de ejecución estatutariamente atribuidas a las Comunidades Autónomas, pero no serán “duplicados” si, por ejemplo, las acciones locales específicamente desarrolladas o sus concretos destinatarios no coinciden con los de los servicios autonómicos correspondientes. El tenor del artículo 25 LBRL confirma con toda claridad que el legislador básico no ha identificado el ejercicio de competencias “complementarias” con la ejecución “simultánea” del mismo servicio: al referirse a la atribución legal de competencias municipales, a la vez que conmina a garantizar “que no se produce una atribución simultánea de la misma competencia a otra Administración pública” (apartado 5), obliga a asegurar que los ayuntamientos dispongan “en todo caso” de “competencias propias” dentro de ámbitos materiales donde las Comunidades Autónomas cuentan con competencias de gestión o ejecución (apartado 2). Consecuentemente, el artículo 7.4 LBRL no impide aprovechar la estructura territorial compuesta del Estado (art. 137 CE) para distribuir prestaciones entre los niveles autonómico y local y, dentro de este, entre sus eventuales subniveles de gobierno (inframunicipal, municipal o intermedio).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en ausencia de una definición más precisa del concepto de “duplicidad” competencial, habrán de ser las Comunidades Autónomas quienes lo especifiquen. En el contexto de una regulación afirmada como básica, la ausencia de precisión normativa “debe interpretarse como un reconocimiento de márgenes de configuración” [SSTC 54/2017, FJ 3 e), y 45/2017, FJ 4, citando las SSTC 41/2016, FJ 7 c), y 111/2016, FFJJ 12 a) y c), 180/2016, FJ 7, 93/2017, FJ 3]. Consecuentemente, los problemas que, bajo la óptica de la autonomía local constitucionalmente garantizada, pudieran derivar del desarrollo o aplicación, por parte de las Comunidades Autónomas, de un concepto excesivamente amplio de “duplicidad” o alejado de sus rasgos conceptuales objetivos serán achacables a ese eventual desarrollo o aplicación, pero no al artículo 7.4 LBRL [en parecido sentido: STC 41/2016, FJ 11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venimos razonando, no puede perderse de vista que las Comunidades Autónomas, tanto cuando desarrollen como cuando apliquen la previsión controvertida, estarán vinculadas a la garantía constitucional de la autonomía local (arts. 137, 140 y 141 CE) y a la propia legislación básica, conforme a la que deben “asegurar a los Municipios, las Provincias y las Islas su derecho a intervenir en cuantos asuntos afecten directamente al círculo de sus intereses, atribuyéndoles las competencias que proceda en atención a las características de la actividad pública de que se trate y a la capacidad de gestión de la Entidad Local, de conformidad con los principios de descentralización, proximidad, eficacia y eficiencia, y con estricta sujeción a la normativa de estabilidad presupuestaria y sostenibilidad financiera” (art. 2.1 LBRL) [en este sentido, STC 41/2016, FJ 11 b)]. También están sujetas a las garantías de autonomía local que establezca eventualmente el Estatuto de Autonomía, siempre que sean compatibles con las bases del régimen local [SSTC 31/2010, FFJJ 36 y 37; 168/2016, FJ 3 b); 44/2017, FJ 2 c); 45/2017, FJ 2 c), y 54/2017,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todo ello, cabe descartar que el artículo 7.4 LBRL, en la redacción dada por el artículo 1.3 de la Ley 27/2013, haya excluido la intervención municipal en ámbitos de competencia ejecutiva autonómica, en general, y en materia de educación, cultura, promoción de la mujer, vivienda, sanidad y medio ambiente, en particular. No produciéndose la intromisión denunciada en el autogobierno municipal, procede desestimar este motivo de impugnación del artículo 7.4 LBRL, en la redacción dada por el artículo 1.3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Según los municipios promotores del conflicto, el artículo 7.4 LBRL, en cuanto a los informes necesarios y vinculantes, dice solo que han de versar sobre duplicidades y sostenibilidad financiera. La intervención de las Administraciones a cuyo informe favorable se subordina el ejercicio de las competencias locales estaría excesivamente indeterminada, abriendo amplísimos márgenes de discrecionalidad. Ello supondría, a la postre, admitir muy diferentes aplicaciones, dando pie a que haya municipios que dispongan (por razones coyunturales y aleatorias) de una cartera de servicios íntegra y amplia, junto a otros con limitada capacidad de autogobierno. La supeditación del desempeño de tareas municipales a la voluntad de otra Administración sin establecer los parámetros legales dentro de los que debe moverse el informe de esa Administración resultaría por todo ello inconciliable con la garantía constitucional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en sí de que el artículo 7.4 LBRL, respecto del ejercicio de las competencias “propias generales” de los entes locales, confíe a otras instancias políticas poderes decisorios mediante informes vinculantes no infringe los artículos 137, 140 y 141 CE. Ciertamente, el sistema constitucional garantiza la autonomía de municipios, provincias e islas y, con ello, atribuye por sí un mínimo competencial común: al garantizar la autonomía local, habilita directamente la toma de decisiones en materia de organización por parte de los entes locales [así, refiriéndose, a la delegación de competencias, STC 101/2017, FJ 5 c)] y, en particular, al reconocer su iniciativa en la actividad económica (art. 128.2 CE), autoriza también “directamente”, sin necesidad de “interposición legislativa”, el poder de crear y mantener empresas públicas, ajustándose a las condiciones que impongan las leyes [STC 54/2017, FJ 5 b)]. No obstante, la Constitución confía a los poderes constituidos (Estado y Comunidades Autónomas) la definición concreta y la atribución misma de las competencias locales: “la Constitución ‘no precisa las competencias que corresponden a los entes locales’ [STC 154/2015, de 9 de julio, FJ 6 a), citando la STC 32/1981, de 28 de julio, FJ 3]. Distribuye todo el poder público entre el Estado (las competencias atribuidas por el art. 149 CE) y las Comunidades Autónomas (las competencias atribuidas por los Estatutos de Autonomía y las leyes previstas en los apartados 1 y 2 del artículo 150 CE)”. Consecuentemente, de acuerdo con la Constitución, la amplitud de la cartera de servicios municipales depende, en última instancia, de las decisiones de otros niveles 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per se contrario a la garantía constitucional de la autonomía local (arts. 137 y 140 CE) que municipios similares en términos poblacionales o socioeconómicos puedan alcanzar distintos volúmenes competenciales. En consonancia con la estructura territorial compuesta que diseña el artículo 137 CE (STC 82/1982, de 21 de diciembre, FJ 4), “la Constitución no encomienda en exclusiva la regulación y la asignación de las competencias locales ni al Estado ni a las Comunidades Autónomas. Cada cual en el marco de sus atribuciones ha de regular y atribuir las competencias de los entes locales, sin perjuicio de la autonomía asegurada en los arts. 137, 140 y 141 CE [STC 214/1989, FJ 3 a)]” (STC 41/2016, FJ 9). Consecuentemente, el contenido de la cartera de servicios municipales puede ser muy diferente según las opciones políticas que desarrolle cada Comunidad Autónoma respecto de los entes locales de su ámbito territorial en el marco de las coordenadas básicas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lo que plantean los ayuntamientos recurrentes es, no tanto que una intervención administrativa como la prevista en el artículo 7.4 LBRL en orden a la delimitación de las competencias municipales sea en todo caso contraria a su autonomía constitucionalmente garantizada, como que el Estado habría debido ajustarla a las garantías que imponen los artículos 137 y 140 CE. Para responder a la impugnación, hay que partir de que, en efecto, la autonomía local constitucionalmente garantizada impone límites a la configuración legislativa de las competencias de municipios, provincias e islas.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leyes deben ponderar los intereses locales y supralocales involucrados, asegurando “que los municipios tengan competencias ‘propias’ en ámbitos de interés exclusiva o prevalentemente municipal” y, en general, una capacidad de intervención en los asuntos que les afectan tanto más relevante y decisiva cuanto mayor sea el saldo favorable a los intereses municipales [STC 41/2016, FFJJ 9 y 11 b), citando la SSTC 4/1981, de 2 de febrero, FJ 3; 32/1981, de 28 de julio, FJ 4; 170/1989, 19 de octubre, FJ 9, y 51/2004, de 13 de abril, FJ 9]. Atendiendo a intereses de alcance supralocal, pueden conferir a instancias políticas supramunicipales (por ejemplo, cabildos, consejos insulares, diputaciones o Comunidades Autónomas) mecanismos de intervención que limiten la autonomía municipal, pero deben especificar y determinar suficientemente el contenido y alcance de esas atribuciones. Las SSTC 111/2016, FJ 12 a) y c), y 152/2016, de 22 de septiembre, FJ 5, al abordar determinadas atribuciones de las diputaciones y las Comunidades Autónomas respecto de servicios municipales, se han referido a estos límites constitucionales a la configuración legislativa de las competencias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7.4 LBRL, en la medida en que somete a los entes locales a aquellos informes vinculantes, constituye una restricción de la autonomía local: tales informes pueden impedir el ejercicio de competencias de fuerte interés municipal o pueden retrasarlo en el mejor de los casos. Ya hemos tenido oportunidad de razonar ampliamente que la exigencia de esos informes se justifica en intereses de alcance supralocal [STC 41/2016, FJ 11 b)]. A fin de valorar ahora si el precepto impugnado cumple el mandato de predeterminación normativa resultante del reconocimiento constitucional de la autonomía local (arts. 137, 140 y 141 CE), hay que partir de que, en efecto, algunos aspectos de aquella intervención restrictiva han quedado normativamente indefinidos. Las Administraciones que han de emitir los informes preceptivos y vinculantes se identifican indirectamente, por referencia a la competente según la materia —en lo que atañe al informe de duplicidad competencial— y a la responsable de la tutela financiera de los entes locales —en lo que se refiere al informe de sostenibilidad—. Nada se dice sobre aspectos formales tales como los órganos que deben evacuar los informes, el plazo de emisión y las consecuencias del incumplimiento; ni sobre elementos sustanciales como los concretos extremos que ha de tomar en consideración el informe sobre duplicidades. En fin, según hemos razonado ya, la Ley 27/2013 no define el concepto de “duplicidad” competencial como tampoco el de “sostenibilidad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artículo 7.4 LBRL no incumple aquella exigencia de predeterminación normativa. Al confiar un informe vinculante a la Administración “competente por razón de la materia”, el precepto controvertido pretende evitar duplicidades sin vulnerar el sistema constitucional de distribución competencial; emitirá el informe el titular de las competencias de ejecución en el ámbito objetivo de que se trate, que habitualmente serán las Comunidades Autónomas a la vista de las múltiples competencias de gestión que tienen estatutariamente reconocidas. Por otra parte, cabe identificar fácilmente a la Administración “que tenga atribuida la tutela financiera”. Tal Administración es la Comunidad Autónoma o, en su caso, la que indique el correspondiente Estatuto de Autonomía o la legislación autonómica: “resulta indiscutible, en primer lugar, que el art. 149.1 CE no ha reservado al Estado la ejecución del régimen local, en general, ni la tutela financiera de los entes locales, en particular, y, en segundo lugar, como consecuencia de lo anterior, que todos los Estatutos —no solo los que se benefician del plus competencial derivado de la garantía constitucional de la foralidad— pueden atribuir esas competencias a sus respectivas Comunidades Autónomas. Consecuentemente, la referencia a la Administración ‘que tenga atribuida [o “ejerza”] la tutela financiera’ de los entes locales no puede interpretarse como una fórmula alambicada mediante la cual la Ley 27/2013 consigue residenciar en el nivel central la facultad de intervenir en decisiones administrativas o ejecutivas que afectan al mapa local canario (art. 13.1 LBRL), así como autorizar caso a caso la ampliación de las competencias de la corporación que lo solicite (art. 7.4 LBRL)” [STC 101/2017,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artículo 7.4 LBRL establece claramente que los municipios tienen atribuida la competencia para gestionar cualquier asunto de interés municipal a la vez que, con igual claridad, subordina su ejercicio a nada más que dos condiciones materiales. De modo que las Administraciones informantes solo pueden mantener la barrera que el artículo 7.4 LBRL impone inicialmente a la gestión de cualquier asunto de interés local por razones de sostenibilidad financiera y duplicidad competencial, siendo improcedentes las consideraciones de oportunidad y teniendo siempre en cuenta las garantías de autonomía local, no solo las establecidas en la Constitución (arts. 137, 140 y 141 CE) y la legislación básica (entre otros, arts. 2.1 y 25.2 LBRL), sino también las eventualmente previstas en otras leyes, singularmente las de algunos Estatutos de Autonomía [en este sentido, STC 41/2016, FJ 11 b)], cuando sean compatibles con las bases del régimen local [SSTC 31/2010, FFJJ 36 y 37; 168/2016, FJ 3 b); 44/2017, FJ 2 c); 45/2017, FJ 2 c), y 54/2017, FJ 2 c)]. Por lo demás, el concepto de sostenibilidad financiera, aunque no está definido en la Ley 27/2013, lo está en el artículo 4 de la Ley Orgánica 2/2012, de 27 de abril, de estabilidad presupuestaria y sostenibilidad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el marco de una materia respecto de la que el Estado tiene solo competencia para adoptar bases, no puede extrañar que el artículo 7.4 LBRL haya dejado de regular agotadoramente la decisión autonómica sobre el ejercicio de las competencias locales. Antes bien, una regulación de mayor detalle que, por ejemplo, indicase el órgano autonómico competente para emitir los informes vinculantes y estableciese todo el procedimiento, invadiría la potestad de autoorganización y la competencia legislativa en materia de régimen local de las Comunidades Autónomas. Consecuentemente, son estas quienes, en cumplimiento de la exigencia de predeterminación normativa que impone la garantía constitucional de la autonomía local (arts. 137, 140 y 141 CE), han de perfilar aquellos aspectos de la intervención autonómica que, pudiéndose considerar relevantes, han quedado indefinidos en el artículo 7.4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pues, desestimar también este motivo de inconstitucionalidad respecto del artículo 7.4 LBRL, en la redacción dada por el artículo 1.3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municipios promotores del presente conflicto en defensa de la autonomía local impugnan el artículo 26.2 LBRL, en la redacción dada por el artículo 1.9 de la Ley 27/2013, cuyo tenor, tras la depuración realizada por la STC 111/2016, FJ 12 d),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municipios con población inferior a 20.000 habitantes será la diputación provincial o entidad equivalente la que coordinará la prestación de los siguientes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Recogida y tratamiento de residuos.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Abastecimiento de agua potable a domicilio y evacuación y tratamiento de aguas residuales.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Limpieza viaria.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Acceso a los núcleos de población.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Pavimentación de vías urbanas.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Alumbrado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coordinar la citada prestación de servicios la Diputación propondrá, con la conformidad de los municipios afectados, la forma de prestación, consistente en la prestación directa por la Diputación o la implantación de fórmulas de gestión compartida a través de consorcios, mancomunidades u otras fórmulas.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el municipio justifique ante la Diputación que puede prestar estos servicios con un coste efectivo menor que el derivado de la forma de gestión propuesta por la Diputación provincial o entidad equivalente, el municipio podrá asumir la prestación y coordinación de estos servicios si la Diputación lo considera acreditado.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la Diputación o entidad equivalente asuma la prestación de estos servicios repercutirá a los municipios el coste efectivo del servicio en función de su uso. Si estos servicios estuvieran financiados por tasas y asume su prestación la Diputación o entidad equivalente, será a ésta a quien vaya destinada la tasa para la financiación de los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Según hemos recordado ya, la impugnación ha perdido objeto en lo atinente a los incisos del artículo 26.2 LBRL que la STC 111/2016, FJ 12 d), declaró inconstitucionales y nulos. A su vez, en lo que hace al resto del precepto, hemos desestimado por remisión a la indicada Sentencia y a la STC 45/2017, FJ 2 d), la mayor parte de los motivos de inconstitucionalidad formulados por los municipios impugnantes. Resta solo abordar dos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de acuerdo con las alegaciones de los ayuntamientos recurrentes, el artículo 26.2 LBRL, aplicado por las Comunidades Autónomas uniprovinciales, supondría atribuir funciones típicamente municipales a un nivel de gobierno que actúa extramuros del sistema local en contra del principio constitucional de autonomía local. En segundo lugar, las Comunidades uniprovinciales y las diputaciones podrían llegar a ejercer las facultades previstas en el artículo 26.2 LBRL sin la “conformidad” de los ayuntamientos en supuestos de incumplimiento de los objetivos de estabilidad presupuestaria y sostenibilidad financiera. Se razona a este respecto que el artículo 116 bis LBRL, en la redacción dada por el artículo 1.30 de la Ley 27/2013, entre las medidas que debe programar el plan económico-financiero, incluye la “gestión integrada o coordinada de los servicios obligatorios que presta la entidad local para reducir costes” sin hacer referencia a la “conformidad”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artículo 26.2 LBRL se refiere a la diputación provincial o entidad “equivalente”. Las entidades “equivalentes” son, a los efectos de este artículo, las Comunidades Autónomas uniprovinciales y otros entes locales “intermedios”, esto es, instancias políticas de ámbito territorial superior al municipal e inferior al autonómico (STC 101/2017, FJ 8). La propia Ley reguladora de las bases de régimen local señala expresamente a este respecto que las competencias de las diputaciones provinciales corresponden a las primeras (art. 40), además de a entes públicos del segundo tipo como los territorios históricos vascos (disposición adicional segunda), los consejos insulares de Baleares (art. 41.3) y los cabildos insulares canarios (art. 41.1).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negar la existencia de intereses específicos de la provincia ni la sustantividad institucional de esta entidad territorial (STC 27/2016, FJ 4), cabe destacar la estrecha conexión entre los intereses y la organización provinciales con los municipales y que, en efecto, las diputaciones y los ayuntamientos conforman un mismo nivel (local) de gobierno. La caracterización constitucional de la provincia como “agrupación de municipios” (art. 141.1 CE) supone, precisamente, que unas y otros responden a un ámbito normalmente común de intereses, lo que tiene un inequívoco reflejo institucional: partiendo de que la Constitución ha dejado “deliberadamente abierto el tipo de legitimidad (directa o indirecta) que exige su carácter representativo (art. 141.2 CE)”, “la Ley Orgánica del régimen electoral general, de acuerdo con una arraigada tradición histórica y en consonancia con una concepción instrumental de la provincia, ha optado por que el pleno de esta corporación local cuente con legitimidad democrática indirecta: los miembros de la diputación provincial son elegidos de entre los concejales en los términos previstos en los artículos 202 a 209 LOREG”; “el sentido de que los municipios —no los ciudadanos— sean quienes estén directamente representados en los órganos provinciales de gobierno es, precisamente, en términos de principio, que los municipios son los destinatarios principales o directos” de las competencias de asistencia, cooperación y coordinación características de “la provincia como entidad local ‘determinada por la agrupación de municipios’ (art. 141.1 CE)” [SSTC 111/2012, FFJJ 9 y 12 c), y 45/2017, FJ 2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tareas previstas en el artículo 26.2 LBRL, cuando son desarrolladas por las diputaciones provinciales, presentan, en consecuencia, la siguiente característica: a través de los concejales que forman parte de la diputación, los ayuntamientos intervienen, no solo en la programación de las medidas relativas a la gestión de aquellos servicios municipales, sino también en su aplicación y desarrollo [STC 111/2012, FJ 12 c)]. Esta relevante intervención del municipio en la gestión de servicios de su titularidad desaparece cuando son Comunidades uniprovinciales quienes aplican el precepto controvertido.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pues, admitir que el artículo 26.2 LBRL, aplicado por Comunidades uniprovinciales, implica sustraer del sistema local determinadas decisiones relativas a la gestión de servicios de titularidad local, “típicamente municipales y, en efecto, indispensables para el desenvolvimiento de la vida urbana” [STC 111/2016, FJ 12 d)]. A fin de determinar si ello resulta compatible con los artículos 137 y 140 CE, corresponde valorar si tales decisiones llegan efectivamente a restringir la autonomía municipal y, si así fuera, si su contenido está normativamente predeterminado y si su atribución a las Comunidades uniprovinciales puede justificarse tras la ponderación de los intereses municipales y supramunicipales involucrados [SSTC 111/2012, FJ 12 a) y c), y 152/2016, FFJ 5 a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26.2 LBRL se refiere a fórmulas de cooperación o “coordinación voluntaria” que puede proponer la Comunidad Autónoma uniprovincial y aceptar el municipio titular del servicio y, correlativamente, que no tiene la obligación de proponer la primera y que puede rechazar el segundo. Así resultaba de su tenor originario y resulta ahora aún más claramente una vez que la STC 111/2016, FJ 12 d), ha declarado la inconstitucionalidad y nulidad de aquellos dos incisos [en este sentido: STC 168/2016, FJ 5 b)]. De modo que el municipio conserva la posibilidad de oponerse a cualquiera de las fórmulas (impropiamente denominadas) de coordinación y, por tanto, también a las que pudieran afectar más fuertemente a su autonomía: la puesta en marcha de las fórmulas de gestión que planifique la Comunidad Autónoma uniprovincial depende, precisamente, de la autonomía municipal. Por ello, bajo la óptica de la autonomía local, resulta a la postre irrelevante que no haya concejales integrados en la instancia territorial que propone y desarrolla aquellas fórmulas de gestión relativa a los servicios de titularidad municipal; el municipio conserva en todo caso la capacidad de oponerse a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lo ha razonado la STC 111/2016, FJ 12 d), refiriéndose al artículo 26.2 LBRL en su aplicación por parte de las diputaciones provinciales: “el criterio determinante no es el económico, tampoco la decisión de otras Administraciones públicas; es la voluntad municipal misma. El municipio puede dar o no su conformidad a un plan que condicionará el modo en que ha de gestionar sus servicios. Hay una posible pérdida de autonomía, pues el municipio puede quedar sujeto a la técnica de ‘coordinación’ correspondiente y, en ese caso, solo podría revertir la situación justificando el menor coste efectivo de la gestión incondicionada. Sin embargo, esa pérdida es consentida y, en cuanto tal, no lesiva de la garantía consagrada en los arts. 137 y 141 CE. La pérdida de autonomía municipal se producirá solo eventualmente y únicamente si la acepta el ayuntamiento o, lo que es lo mismo, ‘con la conformidad de los municipios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artículo 26.2 LBRL no “determina precisamente las circunstancias habilitantes de una u otra técnica de ‘coordinación’ (voluntaria)”, pero, según venimos razonando, ello “no pone en riesgo la autonomía local constitucionalmente garantizada (arts. 137 y 140 CE) habida cuenta de que el precepto asigna al municipio la posibilidad de oponerse a cualquiera de esas técnicas” [STC 111/2016, FJ 12 d)]. La previsión impugnada no restringe la autonomía local sin que, por tanto, sea preciso examinarla a la luz de las exigencias de predeterminación normativa y ponderación que imponen los artículos 137, 140 y 141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según los ayuntamientos recurrentes, en determinados casos, las Comunidades Autónomas uniprovinciales y las diputaciones pueden llegar a ejercer las facultades previstas en el artículo 26.2 LBRL sin su “conformidad”, lo que obligaría a realizar el indicado examen; habría de declararse la vulneración de la garantía constitucional de la autonomía local a la vista de, por un lado, la enorme indefinición de la competencia atribuida a las Comunidades Autónomas uniprovinciales y a las diputaciones en orden a imponer una u otra fórmula de gestión de los servicios municipales y, por otro, el marcado carácter municipal de los intereses involucrados. Ello ocurriría en supuestos en que el municipio incumple los objetivos de estabilidad presupuestaria y sostenibilidad financiera. Señalan a este respecto que el artículo 116 bis LBRL, en la redacción dada por el artículo 1.30 de la Ley 27/2013, entre las medidas que debe programar el plan económico-financiero, incluye la “gestión integrada o coordinada de los servicios obligatorios que presta la entidad local para reducir costes” sin hacer referencia a la “conformidad”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la eventual inconstitucionalidad denunciada sería achacable, no al artículo 26.2 LBRL, sino al artículo 116 bis LBRL, que es el precepto que impondría aquella “gestión integrada” sin contar con la “conformidad” municipal. No comunicándose la eventual inconstitucionalidad del artículo 116 bis LBRL al artículo 26.2 de la misma Ley, hay que rechazar sin más esta alegación. En cualquier caso, cabe recordar que la propia corporación local incumplidora es quien elabora el plan económico-financiero (art. 23.3 de la Ley Orgánica 2/2012) incluyendo las medidas que, según las circunstancias, juzgue imprescindibles para cumplir los objetivos de estabilidad presupuestaria y sostenibilidad financiera: “cuando el art. 116 bis.2 LBRL dispone que ‘el mencionado plan incluirá al menos las siguientes medidas’ no ha de entenderse que el ente local está vinculado a recoger en dicho plan todas esas medidas, perdiendo así todo margen de opción en sus decisiones de gasto, sino que debe introducirlas si fueran imprescindibles para recobrar la senda del cumplimiento y en la medida en que lo sean” (STC 180/2016,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es verdad que aquella “conformidad” municipal podría resultar efectivamente ensombrecida, con el consiguiente riesgo para la autonomía municipal —dada la fuerte indeterminación normativa y la intensidad de los intereses municipales involucrados—, si la Comunidad Autónoma uniprovincial o diputación correspondiente, al amparo de la norma legal de referencia, diseñase mecanismos disuasorios de tal intensidad que solo formalmente preservasen los márgenes de autonomía municipal que asegura el artículo 26.2 LBRL. Pero, en tal caso, “el problema que tal circunstancia pudiera plantear para la autonomía municipal constitucionalmente garantizada (arts. 137 y 140 CE) afectaría estrictamente, no al impugnado artículo 26.2 LBRL, sino a los planes que hubieran desvirtuado materialmente la exigencia de ‘conformidad’ que este impone” [STC 111/2016, FJ 12 d), refiriéndose al artículo 26.2 LBRL solo en su aplicación por parte de las diputaciones provinciales].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por tanto, desestimar los motivos de inconstitucionalidad relativos al artículo 26.2 LBRL, en la redacción dada por el artículo 1.9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municipios recurrentes razonan que el artículo 116 bis y la disposición adicional novena LBRL (en la redacción dada por los apartados 30 y 36 del art. 1 de la Ley 27/2013), al penetrar el ámbito material que el artículo 135.5 CE reserva a la ley orgánica, incurrirían en una vulneración del sistema de fuentes que entrañaría, a la postre, el desconocimiento de su autonomía constitucionalmente garantizada (arts. 137 y 140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aceptar este planteamiento. Ni la infracción de la Constitución, en general, ni el incumplimiento de sus normas sobre el sistema de fuentes, en particular, conllevan necesariamente la vulneración de la garantía constitucional de la autonomía local. De modo que, aunque el artículo 116 bis y la disposición adicional novena LBRL incluyeran contenidos reservados al legislador orgánico, no por ello vulnerarían los artículos 137, 140 y 141 LBRL. Procede, en consecuencia, desestimar estos motivos de inconstitucionalidad sin que podamos examinar si la infracción del artículo 135.5 CE se ha producido efectivamente. La “misión exclusiva de refuerzo de un ámbito subjetivo de autonomía” de este tipo de procesos explica que solo pueda articularse en razón de un único motivo de inconstitucionalidad, la lesión de la autonomía local (STC 27/2016, FJ 3). En todo caso, no está de más indicar que las SSTC 41/2016, FJ 15, y 111/2016, FJ 4, han examinado, desestimándolo, el motivo de inconstitucionalidad que plantean aquí, bajo el ropaje de la autonomía local, los ayuntamientos recurrentes.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extinguida, por pérdida sobrevenida de objeto, la impugnación del artículo 26.2 de la Ley 7/1985, de 2 de abril, reguladora de las bases del régimen local, en la redacción dada por el artículo 1.9 de la Ley 27/2013, de 27 de diciembre, de racionalización y sostenibilidad de la Administración local, en los incisos “al Ministerio de Hacienda y Administraciones Públicas” y “para reducir los costes efectivos de los servicios el mencionado Ministerio decidirá sobre la propuesta formulada que deberá contar con el informe preceptivo de la Comunidad Autónoma si es la Administración que ejerce la tutela financiera.”; y de la disposición adicional decimosexta de la Ley 7/1985, introducida por el artículo 1.38 de la Ley 27/2013.</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conflicto en defensa de la autonomía local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septiembre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