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6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1591-2019, promovido por Penrei Inversiones, S.L., contra el auto del Juzgado de Primera Instancia e Instrucción núm. 6 de Lorca, de fecha 19 de septiembre de 2018, que inadmitió la demanda de oposición a la ejecución formulada por dicha mercantil, en el procedimiento de ejecución hipotecaria núm. 64-2018; y contra el auto del mismo juzgado, de fecha 22 de enero de 2019, que desestimó el recurso de reposición interpuesto contra la anterior resolución. Ha intervenido el Ministerio Fiscal. Ha comparecido la entidad Pera Assets Designated Activity Company, actuando como sucesora procesal de la entidad ejecutante, Banco de Sabadell, S.A.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marzo de 2019, la procuradora de los tribunales doña Blanca Berriatua Horta, actuando en nombre y representación de Penrei Inversiones, S.L., y asistida por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hipotecaria contra las mercantiles Euroinversiones Inmobiliarias Costa Sur, S.L., y Penrei Inversiones, S.L., relativa a la finca inscrita con el núm. 43.467 en el Registro de la Propiedad núm. 3 de Lorca. La cantidad reclamada era de 1892,24 € de principal del préstamo impagado, más intereses legales y costas, resultando la primera de las demandadas la deudora hipotecaria y la segunda titular de un derecho de uso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día 20 de junio de 2018, por el que acordó el despacho de ejecución en el procedimiento de ejecución hipotecaria núm. 64-2018; asimismo, resolvió requerir a las ejecutadas del pago de las cantidades que se reclaman y que dicho auto, junto con el decreto que debe dictar el letrado de la administración de Justicia, “serán notificados simultáneamente a la parte ejecutada, tal y como dispone el artículo 553 de la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de la LEC, y en el plazo de diez días a contar desde el siguiente a la notificación del presente auto y del decreto que se dicte”. El decreto al que se hace referencia fue dictado por el letrado de la administración de Justicia del juzgado a quo en la misma fecha, el cual dispuso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junio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e Instrucción núm. 6 de Lorca, relativa al proceso: EJH/000064/2018; notificación a la que podía acceder entre los días 21 de junio a 6 de agosto del 2018, a través de unos enlaces electrónicos que también indicaba. Como información adicional, se añadía lo siguiente: “[i]ndependientemente del tiempo que tenga a su disposición el acto de comunicación, transcurridos tres días hábiles desde su puesta a disposición sin que el destinatario acceda a su contenido, se entenderá que la comunicación ha sido efectuada legalmente desplegando todos sus efectos, conforme con lo establecido en el art. 162.2 de la LEC. Este aviso conforme a lo dispuesto en el art. 25 del RD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27 de julio de 2018, por personal de la recurrente se accedió al enlace remitido por la dirección electrónica habilitada y, con ello, a la notificación enviada por el juzgado de primera instancia ejecutante, en relación con el procedimiento hipotecario núm. 64-2018.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agosto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6 de Lorca dictó auto, en fecha 19 de septiembre de 2018, en cuya virtud inadmitió la oposición planteada. En dicha resolución se expone que “[e]n fecha 21-6-18 se notificó y requirió en legal forma a través de la sede judicial electrónica a la ejecutada y en fecha 27-8-18 se ha presentado por Euroinversiones Inmobiliarias Costa Sur, S.L., y Penrei Inversiones, S.L., oposición a la ejecución hipotecaria”, para luego fundar la inadmisón, en esencia, en que conforme a la improrrogabilidad de los plazos y la preclusión que establecen los arts. 134 y 136 de la Ley de enjuiciamiento civil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su oposición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la demandante de amparo y la entidad Euroinversiones Inmobiliarias Costa Sur, S.L., se interpusieron recursos de reposición contra el anterior auto. La primera de ellas defendió que la notificación y requerimiento de pago tuvo lugar cuando accedió al contenido de la notificación electrónica remitida y no antes, siendo desde entonces que cabía computar el plazo de diez días del art. 556 LEC. Con invocación también de los arts. 135, 152.1.2.3,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22 de enero de 2019, los recursos de reposición interpuestos fueron desestimados, con los argumentos que constan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LPACAP y art. 273.3 a) de la LEC. Interpretan las recurrentes de forma errónea la normativa aplicable. Así el artículo 162.2 de la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21-6-2018 no accediendo al contenido hasta el día 27-7-2018 (fuera de los tres días que establece la normativa procesal), presentando los escritos de oposición a la ejecución en fecha 27-8-2018,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y ello pese a que esa comunicación fue el primer emplazamiento en la causa. En todo caso, la recurrente expone que siguió las indicaciones que le facilitó la comunicación electrónica, de manera que accedió al contenido de la notificación del juzgado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todavía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 de 22 de enero de 2019, que desestimó el recurso de reposición promovido contra la anterior resolución, se rechaza por la recurrente que el juzgado haya fundamentado su decisión en la Ley del procedimiento administrativo común; norma que estima que no es de aplicación en el ámbito procesal civil, puesto que la Ley de enjuiciamiento civil no se remite a la normativa administrativa en esta materia. Reitera que, pese a lo establecido en el art. 273 LEC respecto de la obligación de relacionarse por medios electrónicos con la administración de Justicia, ello no supone la obligación de tener que recibir la primera notificación o emplazamiento en un proceso judicial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Tercera de este tribunal, de fecha 5 de septiembre de 2019, se acordó oficiar al Juzgado de Primera Instancia e Instrucción núm. 6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64-2018; y si hubiera recaído resolución en el sentido apuntado, que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certificación de fecha 12 de septiembre de 2019, la letrada de la administración de Justicia hizo constar que en el procedimiento citado no se había interpuesto ningún recurso de apelación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octubre de 2019, la Sección Tercera de este tribunal acordó admitir a trámite el recurso de amparo, al apreciar que concurre en el mismo una especial trascendencia constitucional [art. 50.1 de la Ley Orgánica del Tribunal Constitucional (LOTC)], ya que el recurso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recibido con anterioridad copia autenticada del procedimiento de ejecución hipotecaria núm. 64-2018, con arreglo a lo dispuesto en el art. 51 LOTC, solamente se acordó dirigir atenta comunicación al Juzgado de Primera Instancia e Instrucción núm. 6 de Lorca, a fin de que, en un plazo que no excediera de diez días, emplazara a quienes hubieran sido parte en el procedimiento de ejecución referenciado, excepto a la parte recurrente en amparo, por si quisieran comparecer en el presente proceso constitucional, en el plazo de diez días, al efecto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día 18 de noviembre del 2019, la procuradora de los tribunales doña Blanca María Grande Pesquero, en nombre y representación de la entidad Pera Assets Designated Activity Company, sucesora procesal de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22 de enero del 2020, la Sección Tercera de este tribunal resolvió tener por personada como parte comparecida en el presente recurso a la entidad Pera Assets Designated Activity Company, en virtud de sucesión procesal verificada ex arts. 17 y 540 LEC (por remisión del art. 80 LOTC: ATC 473/2006, de 20 de diciembre, FJ 1), al resultar que el juzgado a quo ha admitido la sucesión procesal de esta entidad en la posición de Banco de Sabadell, S.A., por haber acreditado la cesión a su favor del crédito objeto del procedimiento de ejecución hipotecaria núm. 64-2028 en el que se han dictado las resoluciones impugnadas en este amparo [art. 46.1 b) LOTC]; y dado que la acción emprendida para la reparación de los derechos fundamentales invocados en la demanda de amparo resulta, por su naturaleza, transmisible a terceros —no personalísima— (STC 240/2001, de 18 de diciembre, FJ 4; AATC 242/1998, de 11 de noviembre, FJ 2, y 385/2004, de 18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fecha 9 de marzo de 2020, la secretaría de la Sección Tercera de este tribunal acordó dar vista de las actuaciones recibidas a las partes personadas y al Ministerio Fiscal por plazo común de veinte días, dentro de los cuales podrán presentar las alegaciones que estimen pertinentes, conforme determina el art. 52.1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25 de junio de 2020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fiscal pone de relieve que algunos de esos recursos ya han sido resueltos por el Tribunal Constitucional, en concreto por la STC 40/2020, de 27 de febrero, dictada por el Pleno, y la STC 43/2020, de 9 de marzo, de la Sala Segunda. En relación con las citadas sentencias, señala que recogen la doctrina establecida por la STC 6/2019, de 17 de enero, y la STC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transcribe parte de la fundamentación jurídica de la STC 40/2020 y recuerda que la STC 43/2020 resuelve en el mismo sentido por remisión a la anterior; asimismo, reproduce la parte de la argumentación de la STC 19/2020, de 10 de febrero, que recoge la doctrina establecida en las SSTC 6 y 47/2019 ya indicadas. Finalmente, afirma que la doctrina expuesta resulta íntegramente aplicable al presente recurso, por lo que interesa su estimación al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6 de julio del 2020 presentó sus alegaciones la entidad demandante de amparo. Como primera cuestión y a fin de evitar repeticiones innecesarias, se reiteró en lo ya expuesto en su escrito de interposición del recurso de amparo. No obstante, destaca la reciente sentencia del Pleno del Tribunal Constitucional que resuelve el recurso de amparo núm. 5377-2018, promovido por Euroinversiones Inmobiliarias Costa Sur, S.L., en un asunto prácticamente igual al del presente recurso de amparo, en el que el citado tribunal sostiene que, tratándose del primer emplazamiento o citación al demandado, este ha de efectuarse en el domicilio del litigante, como impone el artículo 155.1 de la Ley de enjuiciamiento civil,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 la fundamentación jurídica de la indicada sentencia, a mayor abundamiento refiere que la sentencia que pone fin al recurso de amparo núm. 5379-2018, interpuesto también por la demandante, falla en los mismos términos que la resolución anteriormente invocada. Por último,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entidad Pera Assets Designated Activity Company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1 de octubre del 2020,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inadmitieron a trámite los escritos de oposición a la ejecución presentados por aquellas, al considerarlos extemporáneos. En concreto, en el presente recurso se impugnan los autos del Juzgado de Primera Instancia e Instrucción núm. 6 de Lorca, de fechas 19 de septiembre de 2018 y 22 de enero de 2019, recaídos en el proceso de ejecución hipotecaria núm. 64-2018.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el primer emplazamiento de manera personal y con entrega en papel de la documentación correspondiente, tal y como establecen las normas de la Ley de enjuiciamiento civil, singularmente el art. 155.1. 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en cuanto al fondo del asunto,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3 se resuelve así la queja de fondo por lesión del art. 24.1 CE, derivada de la inadmisión del escrito de oposición a la ejecución. Al respecto se afirma que resulta de aplicación al caso la doctrina de este tribunal plasmada en sus SSTC 6/2019, de 17 de enero, FJ 4 a), dictada al resolver una cuestión de inconstitucionalidad, y 47/2019, de 8 de abril, FJ 4 a), recaída en un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constató en el fundamento jurídico 4 de la STC 40/2020, en el presente caso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el órgano judicial fundamentó el computó del plazo para presentar el escrito de oposición en normas del procedimiento administrativo común, que son ajenas al ámbito jurisdiccional en el que nos encontramos, en alegal conjunción con el plazo del art. 556 LEC. Todo lo cual determina la estimación del amparo por vulneración de su derecho a la tutela judicial efectiva sin indefensión,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fechas 19 de septiembre de 2018 y 22 de enero de 2019, dictados por el Juzgado de Primera Instancia e Instrucción núm. 6 de Lorca en el proceso de ejecución hipotecaria núm. 64-2018,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