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48</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15 de junio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Fernando Valdés Dal-Ré,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2570-2018, promovido por don Ramón Constantino Arias García, contra el auto del Juzgado de Primera Instancia núm. 3 de Siero de 16 de marzo de 2018, que desestimó el incidente de nulidad de actuaciones promovido contra el auto de 10 de noviembre de 2015, pronunciado en el procedimiento de ejecución de títulos no judiciales núm. 151-2015. Ha sido parte la entidad Unicaja Banco, S.A., representada por el procurador de los tribunales don Javier Álvarez Díez, bajo la dirección de la letrada doña Marta Junquera Sánchez-Molina. Ha intervenido el Ministerio Fiscal. Ha sido ponente el magistrado don Juan Antonio Xiol Ríos.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Ramón Constantino Arias García, representado por el procurador de los tribunales don Benigno González González y bajo la dirección del letrado don Jaime Edelmiro Carvajal González, interpuso recurso de amparo contra las resoluciones judiciales que se mencionan en el encabezamiento de esta sentencia mediante escrito registrado en este Tribunal el 10 de mayo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14 de octubre de 2015, la entidad Banco de Caja de España de Inversiones, Salamanca y Soria, S.A.U., presentó demanda de ejecución de título no judicial contra el recurrente y otras dos personas como deudores de un préstamo por el impago de determinadas cuotas, siendo tramitado con el núm. 151-2015 por el Juzgado de Primera Instancia núm. 3 de Siero, que dictó auto de 10 de noviembre de 2015 despachando la ejecución. El auto no fue recurrido y el demandante de amparo tampoco se opuso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demandante, mediante escrito de 28 de noviembre de 2017, solicitó la nulidad de actuaciones alegando la vulneración del derecho a la tutela judicial efectiva (art. 24.1 CE) y de la normativa comunitaria, con base en el Directiva 91/13/CEE, por no haberse hecho aplicación de la jurisprudencia sobre la revisión de oficio de cláusulas abusivas en cualquier fase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solicitud fue denegada por auto de 16 de marzo de 2018 argumentando que el auto despachando la ejecución se dictó de forma correcta sin que hubiera sido recurrido, por lo que ganó firmeza, y tampoco se ejercitó en aquel momento oposición a la ejecución ni se alegó la existencia de ninguna cláusula abusiva.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solicita que se otorgue el amparo por vulneración del derecho a la tutela judicial efectiva (art. 24.1 CE), en relación con los arts. 10.2, 93 y 94 CE, declarándose la nulidad de la resolución impugnada con retroacción de actuaciones para que se verifique un control judicial de oficio de la eventual abusividad de las cláusulas del contrato de préstamo que dio lugar al procedimiento de ejecución, con fundamento en que la decisión judicial de negarse a realizar dicho control por preclusión del plazo es contraria a la jurisprudencia del Tribunal de Justicia de la Unión Europea en materia de cláusulas abusivas, que obliga a los tribunales a examinar de oficio y en cualquier momento del proceso la abusividad de las cláusulas del contrato.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por sendas providencias de 15 de julio de 2019, acordó la admisión a trámite del presente recurso, apreciando que concurre en el mismo una especial trascendencia constitucional [art. 50.1 Ley Orgánica del Tribunal Constitucional (LOTC)] porque el asunto suscitado transciende el caso concreto porque plantea una cuestión jurídica de relevante y general repercusión social o económica [STC 155/2009, FJ 2 g)]; dirigir atenta comunicación al órgano judicial para que remita certificación o fotocopia adverada de las actuaciones y emplazamiento para que puedan comparecen en los recursos de amparo quienes hubieran sido parte en el procedimiento; y la formación de pieza separada para la tramitación del incidente sobre la suspensión solicitada, que fue denegada por ATC 97/2019, de 16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Segunda de este Tribunal, por diligencia de ordenación de 26 de septiembre de 2019, acordó tener por personada a la entidad Unicaja Banco, S.A., representada por el procurador de los tribunales don Javier Álvarez Díez, y dar vista de las actuaciones al Ministerio Fiscal y a las partes personadas por plazo común de veinte días para presentar las alegaciones que estimasen pertinentes, de conformidad con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por escrito registrado en este Tribunal el 23 de octubre de 2019, interesa que se estime el recurso por vulneración del derecho a la tutela judicial efectiva (art. 24.1 CE) anulándose el auto de 16 de marzo de 2018 con retroacción de actuaciones. Expone que la cuestión a dilucidar no es el carácter abusivo o del clausulado del contrato a ejecutar, sino si el órgano judicial ha actuado correctamente al denegar el examen de esa condición por considerar la pretensión extemporánea, vulnerando así el artículo 24.1 CE. Tras la transcripción de diferentes fundamentos de la STJUE de 26 de enero de 2017, el fiscal concluye que el juzgado ha desoído la doctrina allí dictada al apoyar su decisión de desestimar el incidente de nulidad de actuaciones en el efecto preclusivo de la posible oposición y en el carácter inatacable que acompaña al auto despachando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parte comparecida, por escrito registrado el 21 de octubre de 2019, solicita que se desestime el recurso, argumentando que ha sido la propia conducta del recurrente no oponiéndose a la ejecución ni alegando en su momento la abusividad de las cláusulas la que ha motivado la preclusión de ese análisis, sin que pueda emprenderse de oficio ni darse eficacia retroactiva a la jurisprudencia del Tribunal de Justicia de la Unión Europea en la materia. Igualmente, destaca como falta de diligencia del recurrente de amparo que se dejara transcurrir más de un año desde la STJUE de 26 de enero de 2017 hasta que se instó la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demandante presentó sus alegaciones mediante escrito registrado el 4 de noviembre de 2019 ratificándose en las formuladas en su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11 de junio de 2020, se señaló para la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jurisprudencia establecida en la STC 31/2019, de 28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este recurso es determinar si vulnera el derecho a la tutela judicial efectiva del recurrente (art. 24.1 CE) la decisión judicial adoptada en el procedimiento de ejecución de títulos no judiciales de rechazar la petición, amparada en la aplicación de la normativa comunitaria y en la jurisprudencia que la interpreta, de analizar la abusividad de determinadas cláusulas del contrato de préstamo cuya ejecución se instaba, con el argumento de que el auto despachando la ejecución se dictó de forma correcta sin que hubiera sido recurrido, por lo que ganó firmeza, y tampoco se ejercitó en aquel momento oposición a la ejecución ni se alegó la existencia de ninguna cláusula abusiva.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objeto es, en lo fundamental, el mismo que el resuelto por este Tribunal en la STC 31/2019, de 28 de febrero. En aquel caso también se había solicitado el control del carácter abusivo de un préstamo al amparo del Derecho de la Unión Europea (Directiva 93/13/CEE, del Consejo, de 5 de abril, sobre cláusulas abusivas en los contratos celebrados con consumidores y STJUE de 26 de enero de 2017, C-421/14, asunto Banco Primus, S. A., v. Jesús Gutiérrez García), que había sido rechazado porque el recurrente no se opuso en el plazo establecido a la ejecución alegando la abusividad y porque la ejecución se despachó cumpliendo todos los requisitos procesales. Pues bien, la citada STC 31/2019, declaró que, de acuerdo con la Directiva 93/13/CEE, conforme a la interpretación realizada por parte del Tribunal de Justicia de la Unión Europea (sentencia de 26 de enero de 2017), las “cláusulas cuyo eventual carácter abusivo no haya sido aún examinado en un anterior control judicial del contrato controvertido concluido con la adopción de una resolución con fuerza de cosa juzgada, deben ser conocidas por el juez nacional, bien a instancia de parte o de oficio” (FJ 6). De ese modo, la STC 31/2019 establece (i) que no cabe considerar que el plazo para denunciar la existencia de cláusulas abusivas haya precluido solo porque la parte ejecutada no formulase oposición a la ejecución en el plazo de diez días previsto en el art. 557, en relación con el art. 556, ambos de la Ley de enjuiciamiento civil (FJ 6); y (ii) que “no consta en ningún apartado del auto despachando la ejecución que se haya producido un examen del clausulado contractual”, sin que pueda entenderse realizado y justificado con la simple afirmación de que la demanda ejecutiva “cumple los requisitos establecidos en el artículo 685 de la LEC [Ley de enjuiciamiento civil]” (FJ 8). Por ello concluye “que el juzgado vulneró el derecho fundamental a la tutela judicial efectiva (art. 24.1 CE) con su inmotivada contestación acerca de la existencia de un control de la cláusula previo a la denuncia —única excepción contemplada por el Tribunal de Justicia de la Unión Europea para excluir, de haberse dictado resolución firme, un examen posterior—, pues ‘mal se puede realizar un control —ni siquiera externo— de lo que carece de un razonamiento expreso’”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tomando en consideración que también la respuesta judicial para denegar hacer un control de la abusividad del clausulado del contrato cuya ejecución había dado lugar al procedimiento de ejecución de títulos judiciales fue el carácter preclusivo del plazo legal para realizar la oposición a la ejecución y la firmeza del auto despachando la ejecución, debe concluirse, por las mismas razones expuestas en la STC 31/2019, que se ha vulnerado el derecho a la tutela judicial (art. 24.1 CE). En este supuesto, al igual que ocurrió en el enjuiciado por la STC 31/2019, el órgano judicial efectuó una interpretación irrazonable y arbitraria de la norma aplicada en el proceso porque por su propia, autónoma y exclusiva decisión prescindió de la interpretación del Derecho europeo efectuada por el Tribunal de Justicia de la Unión Europea, que es el único órgano competente para hacerlo con carácter vinculante.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Ramón Constantino Arias García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del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declarar la nulidad del auto del Juzgado de Primera Instancia núm. 3 de Siero de 16 de marzo de 2018, pronunciado en el procedimiento de ejecución de títulos no judiciales núm. 151-2015.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la citada resolución para que el órgano judicial dicte una nueva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junio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Ricardo Enríquez Sancho a la sentencia dictada en el recurso de amparo núm. 2570-2018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artículo 90.2 de la Ley Orgánica del Tribunal Constitucional y con el máximo respeto a la opinión de la mayoría, formulo el presente voto particular por discrepar de la fundamentación y del fallo de la sentencia recaída en el recurso de amparo núm. 2570-2018, el cual a mi juicio debió ser desestimado.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han quedado detalladamente expuestas en el voto particular formulado a la sentencia 31/2019, de 28 de febrero, que resolvió una demanda de amparo sustancialmente idéntica a la presente, al que por tanto me remito.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tal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quince de junio de dos mil veinte.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