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25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7512-2019, promovido por Euroinversiones Inmobiliarias Costa Sur, S.L., contra el auto del Juzgado de Primera Instancia e Instrucción núm. 4 de Lorca, de 19 de noviembre de 2018, que inadmitió la demanda de oposición a la ejecución formulada por dicha mercantil, en el procedimiento de ejecución hipotecaria núm. 363-2018 instado por la entidad Banco de Sabadell; y contra el auto del mismo juzgado, de 30 de octubre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26 de diciembre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43.351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del proceso, dictó auto el 27 de junio de 2018 por el que acordó el despacho de ejecución (procedimiento de ejecución hipotecaria núm. 363-2018),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 de julio de 2018, el servicio de notificaciones electrónicas de la Fábrica Nacional de Moneda y Timbre remitió un correo al buzón de la dirección electrónica habilitada de la entidad aquí recurrente en amparo, avisándole de una notificación del Juzgado de Primera Instancia núm. 4 de Lorca relativa al proceso “EJH/0000363/2018”, notificación a la que podía acceder entre los días 3 de julio y 18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 de agosto de 2018 por personal de la recurrente se accedió al enlace remitido por la dirección electrónica habilitada y, con ello, a la notificación enviada por el juzgado de primera instancia ejecutor en relación con el procedimiento hipotecario núm. 363-2018. También en esa fecha, la Fábrica Nacional de Moneda y Timbre emitió un certificado electrónico que obra en las actuaciones del proceso,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agosto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4 de Lorca proveyó a los dos escritos de oposición a la ejecución de las ejecutadas en una misma resolución, dictando auto el 19 de noviembre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Euroinversiones Inmobiliarias Costa Sur, S.L., y Penrei Inversiones, S.L., representada por el procurador D. Antonio Serrano Caro por estar presentada fuera de plazo, contra Banco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antecedente de hecho segundo se había hecho constar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29-06-18 se notificó y requirió en legal forma a través de la sede judicial electrónica a ambas ejecutadas, y en fecha 31-08-18 se ha presentado por Euroinversiones Inmobiliarias Costa Sur, S.L., y Penrei Inversiones, S.L., oposición a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presentado por ambas entidades,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apelación, que se interpondrá ante el tribunal que haya dictado la resolución que se impugne dentro del plazo de veinte días contados desde el día siguiente de la notificación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Pese a la instrucción del medio impugnatorio indicado, tanto la aquí demandante Euroinversiones Inmobiliarias Costa Sur, S.L., como la entidad Penrei Inversiones, S.L., actuando bajo la misma representación procesal, interpusieron por separado recurso de reposición contra el anterior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importa, que es el promovido por la primera de las entidades mencionadas, el recurso defendió que la notificación y requerimiento de pago habían tenido lugar cuando accedió al contenido de la notificación electrónica remitida y no antes, siendo desde entonces que cabía computar el plazo de diez días del art. 556 de la Ley de enjuiciamiento civil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juzgado ejecutor dictó auto el 30 de octubre de 2019, con la siguiente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el recurso de reposición interpuesto por el/la procurador/a D./Dª. Antonio Serrano Caro, en representación de la mercantil ‘Euroinversiones Inmobiliarias Costa Sur, S.L.’, contra el auto de fecha 19 de noviembre de 2018, el cual se confirma en sus propios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antecedente de hecho primero, se había hecho constar que: “En el presente proceso se ha interpuesto por el/la procurador/a D./Dª. Antonio Serrano Caro, en representación de la mercantil ‘Euroinversiones Inmobiliarias Costa Sur, S.L.’, recurso de reposición contra el auto de fecha 19 de noviembre de 2018, en el que se inadmitía la oposición a la ejecución formulada por dicha parte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que fundaron dicha decisión se expusieron en el razonamiento jurídico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ser desestimado el recurso de reposición interpuesto por ser el auto por recurrido conforme a la normativa procesal vigente en materia de oposición a la ejecución (artículos 556.1 LEC y concordantes) y de actos de comunicación. Así, pese a las alegaciones del recurrente que pretende mantener que el escrito de oposición fue presentado en plazo para ello por entender que el auto despachando la ejecución y el requerimiento efectuado debe entenderse notificado en fecha 3 de agosto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citados como infringidos por la parte recurrente (arts. 135, 152, 162 y 273 y siguientes de la LEC) han sido perfectamente respetados en el presente procedimiento. La propia parte recurrente afirma estar obligada a utilizar los medios electrónicos en sus comunicaciones con el juzgado y afirma que la notificación se remitió a la dirección de correo electrónico ‘habilitada’ del titular a las que se refiere el art. 162 de la LEC, que tiene carácter de norma especial, destinada a regular los actos de comunicación por medios electrónicos o similares. No existiendo discusión ni duda acerca de la aplicabilidad de dicho precepto, al reconocer la propia recurrente la obligatoriedad en el uso de dichos medios en las relaciones con la administración de justicia, se llega a la conclusión de que lo dispuesto en el mismo es claro y ha sido respetado. Del propio documento núm. 1 aportado con el escrito interponiendo recurso de reposición y de las propias alegaciones vertidas por la recurrente, resulta la correcta recepción de la notificación en fecha 03/07/2018, fecha en la que se materializó la ‘puesta a disposición’ de la notificación correctamente y del propio documento resulta que pasaron más de tres días desde la misma sin que se hubiera accedido al contenido hasta el día 3 de agosto de 2018, por tanto, en aplicación estricta de lo dispuesto en el apartado segundo del art.162 de la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contra dicha resolución “no cabe recurso alguno, sin perjuicio de reproducir la cuestión objeto de la reposición al recurrir, si fuera posible, la resolución definitiva (artículo 454 de la LEC)”. Tanto este auto como el anterior de 19 de noviembre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30 de octubre de 2019, por la aquí demandante de amparo, tras serle expedido certificación del mismo, se interpuso el presente recurso núm. 7512-2019.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30 de octubre de 2019 que desestimó el recurso de reposición promovido contra la anterior resolución —y del que se han expuesto sus argumentos—, se alega por la recurrente que el juzgado ha fundamentado su segunda decisión en una interpretación forzada y contradictoria de las normas procesales, al incluir indicaciones equívocas en el aviso de puesta a disposición, además de infringir las prescripciones sobre el primer emplazamiento en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363-2018 seguido ante el Juzgado de Primera Instancia e Instrucción núm. 4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de este tribunal el 6 de octubre de 2020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Sabadell, S.A., entendiéndose con dicha procuradora las actuaciones sucesivas de este proceso. Justificaba su petición en la escritura de cesión onerosa de créditos hipotecarios suscrita con Banco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7 de octubre de 2020 se acordó no admitir dicha personación, por resultar esta inviable en la fase preliminar de admisión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recibidas las actuaciones, la Sección Cuarta de este tribunal dictó providencia el 30 de noviembre de 2020 por la que acordó: (i) admitir a trámite el recurso, “apreciando que concurre en el mismo una especial trascendencia constitucional (art. 50.1 LOTC) porque el recurso plantea un problema o afecta a una faceta de un derecho fundamental sobre el que no hay doctrina de este tribunal [STC 155/2009, FJ 2 a)], o bien que el recurso puede dar ocasión al tribunal para aclarar o cambiar su doctrina como consecuencia de cambios normativos relevantes para la configuración del contenido del derecho fundamental [STC 155/2009, FJ 2 b)]”; (ii) constatada la recepción del testimonio de las actuaciones de instancia, emplazar a través del juzgado ejecutor a quienes hubieren sido parte en el procedimiento excepto a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25 de junio de 2021 la entidad Pera Assets Designated Activity Company comunica haber sido emplazada por el juzgado ejecutor y solicita su personación en el proceso de amparo con la misma representación y defensa designadas en escrito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diligencia de ordenación de la Secretaría de Justicia de la Sección Cuarta, de 6 de julio de 2021,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19 de julio de 2021, por el que interesó de este tribunal que dictara sentencia otorgando el amparo a la recurrente, con reconocimiento de la vulneración de su derecho a la tutela judicial efectiva sin indefensión (art. 24.1 CE), declarando la nulidad de “todo lo actuado desde la notificación efectuada electrónicamente del auto despachando ejecución acordado por el Juzgado de Primera Instancia e Instrucción núm. 4 de Lorca, en el juicio de ejecución hipotecaria 363-2018”,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Integra el fiscal el presente recurso “en la extensa serie de los interpuestos por Euroinversiones Inmobiliarias Costa Sur, S.L., y Penrei Inversiones, S.L., frente a diversos autos recaídos en otros tantos procedimientos hipotecarios tramitados por diferentes juzgados de primera instancia de Lorca (Murcia), con idéntico objeto y fundamento y la misma pretensión de amparo”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3 de septiembre de 2021, por el que interesó se dictara resolución estimatoria del recurso de amparo, haciendo mención a la STC 40/2020, del Pleno del Tribunal Constitucional que resuelve el recurso de amparo 5377-2018, promovido por la misma parte Euroinversiones Inmobiliarias Costa Sur, S.L., “en asunto prácticamente igual al del presente recurso de amparo”, lo que refuerza las exigencias para llevar a efecto el primer emplazamiento tal y como prevé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auto de la Sala Segunda de este Tribunal núm. 2/2021, de 25 de enero,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16 de septiembre de 2021, dejando constancia de la presentación de los escritos de alegaciones del Ministerio Fiscal, del representante procesal de la recurrente en amparo y de su falta de presentación por la entidad personada,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21 de octubre de 2021,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4 de Lorca, de 19 de noviembre de 2018 y de 30 de octubre de 2019, recaídos en el proceso hipotecario núm. 363-2018.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LEC.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dictada en sede de cuestión de inconstitucionalidad, y 47/2019, de 8 de abril, FJ 4 a), recaída en proceso de amparo,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19 de noviembre de 2018 y de 30 de octubre de 2019, dictados por el Juzgado de Primera Instancia e Instrucción núm. 4 de Lorca en el proceso de ejecución hipotecaria núm. 363-2018,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