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febrero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6093-2019, promovido por Penrei Inversiones, S.L., contra el auto del Juzgado de Primera Instancia e Instrucción núm. 5 de Lorca, de 21 de septiembre de 2018, que inadmitió la demanda de oposición a la ejecución formulada por dicha mercantil, en el procedimiento de ejecución hipotecaria núm. 284-2018 instado por la entidad Banco de Sabadell, S.A., y contra el auto del mismo juzgado, de 10 de septiembre de 2019, que desestimó el recurso de reposición interpuesto contra la anterior resolución. Ha intervenido el Ministerio Fiscal. Se ha personado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25 de octubre de 2019, la procuradora de los tribunales doña Blanca Berriatua Horta, actuando en nombre y representación de Penrei Inversiones, S.L., bajo la defensa de la letrada doña Anju Nirmala Benavent Rodríguez,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43.403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5 de Lorca, al que correspondió el conocimiento del proceso, dictó auto el 7 de mayo de 2018 por el que acordó el despacho de ejecución (procedimiento de ejecución hipotecaria núm. 284-2018),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9 de mayo de 2018, el servicio de notificaciones electrónicas de la Fábrica Nacional de Moneda y Timbre remitió un correo al buzón de la dirección electrónica habilitada de la entidad aquí recurrente en amparo, avisándole de una notificación del Juzgado de Primera Instancia núm. 5 de Lorca relativa al proceso “EJH/0000284/2018”; notificación a la que podía acceder entre los días 9 de mayo a 24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que conste que se hubiere accedido al enlace habilitado en el anterior mensaje, el día 23 de junio de 2018 el servicio de notificaciones electrónicas mencionado remitió un nuevo correo al buzón de la dirección electrónica habilitada de la recurrente en amparo, recordándole el anterior aviso y la posibilidad de acceder a la notificación en el enlace indicado, hasta las 23:59 horas del día siguiente, 24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24 de junio de 2018, por personal de la recurrente se accedió al enlace remitido por la dirección electrónica habilitada y, con ello, a la notificación enviada por el juzgado de primera instancia ejecutor en relación con el procedimiento hipotecario núm. 284-2018. También en esa fecha, la Fábrica Nacional de Moneda y Timbre emitió un certificado electrónico que obra en las actuaciones del proceso (al igual que los anteriores correos), dejando constancia de que la notificación había sido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9 de julio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Juzgado de Primera Instancia e Instrucción núm. 5 de Lorca dictó auto el 21 de septiembre de 2018,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Penrei Inversiones, S.L., Euroinversiones Inmobiliarias Costa Sur, S.L., reresentada por el procurador D. Antonio Serrano Caro por estar presentada fuera de plazo, contra Banco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Se establece en el artículo 134 de la LEC, la improrrogabilidad de los plazos establecidos en la misma, y en el artículo 136 de la LEC, que transcurrido o pasado el término señalado para la realización de un acto procesal de parte se producirá la preclusión y se perderá la oportunidad de realizar el acto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reposición en el plazo de cinco días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el representante procesal de la demandante de amparo se interpuso recurso de reposición contra el anterior auto. En el recurso defendió que la notificación y requerimiento de pago tuvo lugar cuando accedió al contenido de la notificación electrónica remitida y no antes, siendo desde entonces que cabía computar el plazo de diez días del art. 556 de la Ley de enjuiciamiento civil (LEC). Con invocación también de los arts. 135, 152.1.2, párrafo tercero,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juzgado ejecutor dictó auto el 10 de septiembre de 2019 en desestimación del recurso de reposición, con los argumentos que expuso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[sic], las mismas desde el 1 de enero de 2017 (disposición transitoria cuarta de la Ley 42/2015, de 5 de octubre, de reforma de la LEC) están obligadas a relacionarse con la Administración de Justicia por medios electrónicos [art. 14. 2 a) de la Ley 39/2015 LPACAP y art. 273.3 a)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Interpretan las recurrentes de forma errónea la normativa aplicable. Así el artículo 162.2 de la LEC en cualquiera de los supuestos a los que se refiere este artículo, cuando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exceptuarán aquellos supuestos en los que el destinatario justifique la falta de acceso al sistema de notificaciones durante ese periodo. Si la falta de acceso se debiera a causas técnicas y estas persistiesen en el momento de ponerlas en conocimiento, el acto de comunicación se practicará mediante entrega de copia de la resolución. En cualquier caso, la notificación se entenderá válidamente recibida en el momento en que conste la posibilidad de acceso al sistema. No obstante, caso de producirse el acceso transcurrido dicho plazo pero antes de efectuada la comunicación mediante entrega, se entenderá válidamente realizada la comunicación en la fecha que conste en el resguardo acreditativo de su recepción.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los artículos 33.2 y 34 de la Ley 18/2011, de 5 de julio, reguladora del uso de las tecnologías de la información y la comunicación en la Administración de Justicia establecen que ‘las comunicaciones a través de medios electrónicos se realizarán, en todo caso, con sujeción a lo dispuesto en la legislación procesal y serán válidas siempre que exista constancia de la transmisión y recepción, de sus fechas y del contenido íntegro de las comunicaciones, y se identifique con la autenticación que sea exigible al remitente y al destinatario de las mismas’; ‘[e]l sistema de notificación permitirá acreditar la fecha y hora en que se produzca la salida y las de la puesta a disposición del interesado del acto objeto de notificación, así como de acceso a su contenido. En caso de que el acto de comunicación no pueda llevarse a cabo por medios electrónicos, se procederá a imprimir la resolución y la documentación necesaria, procediéndose a la práctica del acto de comunicación en la forma establecida en las leyes procesales e incorporándose a continuación el documento acreditativo de la práctica del acto de comunicación, debidamente digitalizado, al expediente judicial electrónico. En todo caso, el destinatario del acto de comunicación tendrá derecho a obtener copia de la documentación recibida en formato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11.2 del Real Decreto 1065/2015 de 27 de noviembre, sobre comunicaciones electrónicas en la Administración de Justicia en el ámbito territorial del Ministerio de Justicia y por el que se regula el sistema Lexnet determina que ‘[s]erá de aplicación a los actos de comunicación realizados a través de la sede judicial electrónica lo dispuesto en el artículo 162.2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resulta clarificador el acuerdo no jurisdiccional del Pleno de la Sala Cuarta del Tribunal Supremo de 6 de julio de 2016 […]: ‘Cuando haya constancia de la correcta remisión del acto de comunicación y transcurran tres días hábiles sin que el destinatario acceda a su contenido, se entenderá que la comunicación ha sido efectuada con plenos efectos procesales. Por tanto, constando correcta la remisión de la comunicación tal y como se constata por el letrado de la Administración de justicia, el hecho de que el destinatario no hubiera accedido al contenido sino hasta el 9 de diciembre de 2017 no es determinante de nulidad de actos por cuanto la comunicación se entiende efectuada con plenos efectos procesales. Por todo ello se desestima 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09/05/2018 no accediendo al contenido hasta el día 24/06/2018 (fuera de los tres días que establece la normativa procesal), presentando los escritos de oposición a la ejecución en fecha 09/07/2018 claramente fuera del plazo legalmente establecido en el art. 556.1 de la LEC (dentro de los diez días siguientes al de la notificación del auto despachando ejecución), y siendo que, conforme al art. 136 de la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dicha resolución “es firme, y contra la misma no cabe recurso alguno”. Tanto este auto como el anterior de 21 de septiembre de 2018,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10 de septiembre de 2019,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10 de septiembre de 2019 que desestimó el recurso de reposición promovido contra la anterior resolución —y del que se han expuesto sus argumentos—, se rechaza por la recurrente que el juzgado haya fundamentado su segunda decisión en la Ley del procedimiento administrativo común, que considera inaplicable al ámbito procesal civil. Precisa que, en materia de notificación de actos procesales existe una normativa propia detallada en la Ley de enjuiciamiento civil según ha expuesto, ensamblada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284-2018 seguido ante el Juzgado de Primera Instancia e Instrucción núm. 5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15 de junio de 2020 por la que acordó: (i) admitir a trámite el recurso, “apreciando que concurre en el mismo una especial trascendencia constitucional (art. 50.1 LOTC) como consecuencia de que el órgano judicial pudiera haber incurrido en una negativa manifiesta del deber de acatamiento de la doctrina de este tribunal [STC 155/2009, FJ 2 f)]”; (ii) constatar la existencia en el tribunal del testimonio de las actuaciones de la ejecución hipotecaria 284-2018 por haber sido remitidas por el órgano ejecutor en el recurso de amparo conexionado 6079-2019 y emplazar a quienes hubieran sido parte en el proceso de ejecución, excepto a la recurrente en amparo, para poder comparecer en el presente proceso constitucional en del plazo de diez días, a efecto de formular alegaciones;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22 de julio de 2020,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de Sabadell, S.A., entendiéndose con dicha procuradora las actuaciones sucesivas de este proceso. Justificaba su petición en la escritura de cesión onerosa de créditos hipotecarios suscrita con Banco de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la Secretaría de Justicia de la Sección Cuarta de 14 de octubre de 2020 se acordó: (i) tener por personada y parte a la procuradora señora Munteanu en nombre y representación de la sociedad indicada, y (ii) dar vista de las actuaciones recibidas a las partes personadas y al Ministerio Fiscal por plazo común de veinte días para presentar alegaciones de conformidad con lo previsto en el art. 52. 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escrito de alegaciones el 30 de noviembre de 2020,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5 de Lorca, en el juicio de ejecución hipotecaria 284-2018”, y retroacción de las actuaciones al momento inmediato anterior a aquella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Identifica el recurso “como uno de los que componen la serie de los interpuestos por Euroinversiones Inmobiliarias Costa Sur, S.L., y Penrei Inversiones, S.L., frente a diversos autos dictados en procedimientos hipotecarios tramitados por diferentes juzgados de primera instancia de Lorca, por idénticas vulneraciones”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8 de diciembre de 2020, por el que interesó se dictara resolución estimatoria del recurso de amparo, haciendo mención a la STC 40/2020, del Pleno del Tribunal Constitucional, que resuelve el recurso de amparo 5377-2018 promovido por Euroinversiones Inmobiliarias Costa Sur, S.L., “en un asunto prácticamente igual al del presente recurso de amparo” que refuerza las exigencias para llevar a efecto el primer emplazamiento. Añadía, como motivo de singular acogimiento, haber sido demandante en el recurso de amparo 5379-2018 en el que denunciaba idénticas vulneraciones con relación a otro proceso de ejecución hipotecaria sustanciado en el mismo partido judicial y que fue estimado por STC 43/2020, de 9 de marzo, dictada por la Sala Segunda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Respecto de la solicitud de suspensión formulada por la recurrente en amparo mediante otrosí de su escrito de demanda, por ATC 80/2020, de 20 de julio, la Sala Segunda de este Tribunal Constitucional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la Secretaría de Justicia se ha dictado diligencia el 17 de diciembre de 2020, dejando constancia de la presentación de los escritos de alegaciones del Ministerio Fiscal, del representante procesal de la recurrente en amparo y de su falta de presentación por la entidad recurrida,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11 de febrero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Penrei Inversiones, S.L., impugna los autos del Juzgado de Primera Instancia núm. 5 de Lorca, de 21 de septiembre de 2018 y 10 de septiembre de 2019, recaídos en el proceso hipotecario núm. 284-2018.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Ley de enjuiciamiento civil.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como afirma en trámite de alegaciones la recurrente en amparo y subraya el Ministerio Fiscal,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dictada en sede de cuestión de inconstitucionalidad, y 47/2019, de 8 de abril, FJ 4 a), recaída en proceso de amparo,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vulneración de su derecho fundamental a la tutela judicial efectiva sin padecer indefensión (art.24.1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Penrei Inversiones,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21 de septiembre de 2018 y 10 de septiembre de 2019, dictados por el Juzgado de Primera Instancia e Instrucción núm. 5 de Lorca en el proceso de ejecución hipotecaria núm. 284-2018,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