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45</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3 de marzo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2537-2019, promovido por Penrei Inversiones, S.L., contra el auto del Juzgado de Primera Instancia e Instrucción núm. 5 de Lorca de 27 de febrero de 2019, por el que se desestima el recurso de reposición interpuesto contra el auto de 21 de septiembre de 2018, por el que se inadmite el escrito de oposición a la ejecución hipotecaria en el procedimiento de ejecución hipotecaria núm. 362-2018. Ha comparecido la entidad Pera Assets Designated Activity Company. Ha intervenido el Ministerio Fiscal. Ha sido ponente el magistrado don Juan Antonio Xiol Ríos.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entidad Penrei Inversiones, S.L., representada por la procuradora de los tribunales doña Blanca Berriatua Horta y bajo la asistencia de la letrada doña Anju Nirmala Benavent Rodríguez, interpuso recurso de amparo contra las resoluciones judiciales que se mencionan en el encabezamiento de esta sentencia mediante escrito registrado en este tribunal el 22 de abril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promovió un procedimiento de ejecución hipotecaria frente a las sociedades Euroinversiones Inmobiliarias Costa Sur, S.L., en calidad de prestataria e hipotecante, y Penrei Inversiones, S.L., en calidad de titular registral de un derecho de uso y disfrute sobre el inmueble hipotecado, que fue tramitado por el Juzgado de Primera Instancia e Instrucción núm. 5 de Lorca con el número 362-2018.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juzgado acordó despachar ejecución mediante auto de 8 de junio de 2018 frente a las sociedades demandadas. El citado auto y el decreto de la misma fecha que le sigue, acordando las medidas de ejecución y el requerimiento de pago al ejecutado, fueron comunicados a las citadas entidades a través de la sede judicial electrónica el día 13 de junio de 2018; fecha en la que se recibió en la dirección electrónica habilitada de ambas entidades un mensaje del servicio de notificaciones electrónicas de la Fábrica Nacional de Moneda y Timbre con el aviso de que hasta el 29 de julio siguiente tendrían disponible una notificación del juzgado de Lorca relacionada con el procedimiento EHJ 0362-2018, a la que, para que constase como leída, debía acceder a través de un enlace adjunto. La ejecutada accedió a dicho enlace el 24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entidad demandante de amparo presentó el 31 de julio de 2018 escrito de oposición a la ejecución despachada. Por auto de 21 de septiembre de 2018, el órgano judicial acordó la inadmisión de la oposición formulada por entender extemporánea su presentación, tras tomar como fecha de emplazamiento el 13 de junio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entidad demandante de amparo interpuso recurso de reposición, alegando que la notificación y requerimiento no habían de entenderse realizadas el 13 de junio de 2018, sino el 25 de julio siguiente, y que la comunicación remitida a través de la dirección electrónica habilitada no constituye sino un aviso de puesta a disposición para descarga de su contenido durante un plazo determinado; poniendo de manifiesto que, entenderlo de otro modo, además de infringir los arts. 135, 152, 160 y 162 de la Ley de enjuiciamiento civil (LEC), vulneraría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recurso fue desestimado por auto de 27 de febrero de 2019 con fundamento en que las entidades ejecutadas tienen la condición de persona jurídica y, por tanto, están obligadas a relacionarse con la administración de justicia por medios electrónicos, de conformidad con lo previsto en la disposición transitoria cuarta de la Ley 42/2015, de 5 de octubre, de reforma de la Ley de enjuiciamiento civil, así como en los arts. 14.2 a) de la Ley 39/2015 del procedimiento administrativo común de las administraciones públicas, y 273.3 LEC. Según el auto, el art. 162.2 LEC impone que la comunicación electrónica surte efecto trascurridos tres días desde que fue efectuada sin que el destinatario acceda a su contenido. Concluye que, al constar que la notificación se puso a disposición de las ejecutadas el 13 de junio de 2018, la presentación del escrito de oposición el 31 de julio de 2018 se produjo fuera del plazo legalmente establecido en el art. 556.1 LEC, esto es más allá de los diez días siguientes al de la notificación del auto despachando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alega que las resoluciones judiciales impugnadas han vulnerado su derecho a la tutela judicial efectiva sin indefensión (art. 24.1 CE), al haberse efectuado su emplazamiento como ejecutada a través de un correo electrónico remitido por un servicio de notificaciones electrónicas y no mediante entrega de la documentación correspondiente en papel en la sede de su domicilio social y ello pese a que esa comunicación fue el primer emplazamiento en la causa. Además, señala que, en todo caso, siguió las indicaciones que le facilitó la comunicación electrónica, de manera que accedió al contenido de la notificación dentro del plazo fijado de disponibilidad; fecha que, sin embargo, el órgano judicial ha considerado fuera de plazo, por lo que acordó la inadmisión del escrito de oposición presentado dentro de los diez días que prevé el art. 556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insiste en que, por ser una persona jurídica, si bien está obligada a relacionarse con la administración de justicia a través de medios electrónicos, según establece el art. 273 LEC; sin embargo, cuando se trata del primer emplazamiento y, por tanto, todavía se no ha tenido ninguna relación con el juzgado correspondiente en ese concreto procedimiento, la notificación ha de practicarse mediante cédula con entrega en papel de la documentación correspondiente, conforme establece ese mismo artículo, puesto en relación con los arts. 135, 152, 162 y 155 LEC. Este último precepto es categórico al respecto, ya que en su punto primero establece que “cuando las partes no actúen representadas por procurador o se trate del primer emplazamiento o citación al demandado, los actos de comunicación se harán por remisión al domicilio de los litigantes”.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además, expone que el auto de 27 de febrero de 2019 fundamenta su decisión en la Ley del procedimiento administrativo común, norma que es inaplicable al ámbito procesal civil, puesto que además de existir normas concretas al respecto, no se dan en uno y otro ámbito las mismas garantías procedimentales. Precisa que en materia de notificación de actos procesales resulta aplicable tanto la Ley de enjuiciamiento civil como el art. 24 CE, que reconoce el derecho a la tutela judicial efectiva. Alega finalmente que se ha producido también una vulneración del derecho a un proceso con todas las garantías (art. 24.2 CE), en las vertientes del derecho a la defensa contradictoria y del derecho a la asistencia letrada, las cuales permiten en todos los órdenes jurisdiccionales evitar desequilibrios en la posición procesal de las partes, sin limitaciones a su defensa que pudieran en caso contrario ocasionar indefensión a alguna de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solicita que se estime el recurso del amparo, acordando la nulidad de las resoluciones judiciales impugnadas y se ordene reponer las actuaciones al momento previo al dictado de la primera de las resoluciones judiciales impugnadas, a fin de que el juzgado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 este tribunal, por providencia de 16 de septiembre de 2019, acordó admitir a trámite el recurso de amparo apreciando que concurre en el mismo una especial trascendencia constitucional [art. 50.1 de la Ley Orgánica del Tribunal Constitucional (LOTC)] porque puede dar ocasión para aclarar o cambiar su doctrina, como consecuencia de cambios normativos relevantes para la configuración del contenido del derecho fundamental [STC 155/2009, FJ 2 b)]”; dirigir atenta comunicación al órgano judicial para la remisión de testimonio o copia adverada de las actuaciones y el emplazamiento de quienes hubieran sido parte en el procedimiento para que puedan comparecen en el recurso de amparo; y la formación de la pieza separada de suspensión, que fue resuelta por ATC 129/2019, de 28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entidad Pera Assets Designated Activity Company, representada por la procuradora de los tribunales doña Blanca María Grande Pesquero y bajo la asistencia del letrado don Alejandro Ingram Solís, por escrito registrado el 4 de octubre de 2019, manifestó ser cesionaria a título oneroso de determinados créditos hipotecarios de los que era titular Banco de Sabadell, S.A., (entre ellos el que grava la finca hipotecada que es objeto del proceso judicial previo), así como haber sido emplazada por el Juzgado de Primera Instancia e Instrucción núm. 5 de Lorca para comparecer ante este tribunal, por lo que solicitó que se le tuviera por personada como parte recurrida, entendiéndose con dicha procuradora las actuaciones sucesivas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Tercera de este tribunal, por providencia de 14 de diciembre de 2020, tuvo por personada y parte a la procuradora doña Blanca María Grande Pesquero en la representación acreditada y acordó dar vista de las actuaciones a las partes personadas y al Ministerio Fiscal, por plazo común de veinte días, a fin de que, conforme con lo previsto en el art. 52 LOTC, pudieran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mediante escrito registrado el 29 de enero de 2021, presentó sus alegaciones interesando la estimación del recurso de amparo y, en consecuencia, que se declare vulnerado el derecho a la tutela judicial efectiva sin indefensión de la demandante y la nulidad de todo lo actuado desde la notificación electrónica del auto que despachó la ejecución solicitada, con retroacción de las actuaciones al momento inmediatamente anterior a dicha notificación “para que se le dé al recurrente posibilidad de formular oposición a la ejecución”. El Ministerio Fiscal fundamenta esta petición en la jurisprudencia constitucional establecida en las SSTC 40/2020, de 27 de febrero, y 43/2020, de 9 de marzo, en las que, entre otras, se han resuelto demandas de amparo semejantes a la presente.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entidad recurrente presentó sus alegaciones el 21 de enero de 2021, remitiéndose a lo expuesto en su demanda, haciendo mención adicional a la STC 40/2020, de 27 de febrero, en la que el tribunal resolvió estimatoriamente un asunto prácticamente idéntico al actual.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25 de febrero 2021, se señaló para deliberación y votación de la presente sentencia el día 3 de marzo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jurisprudencia constitucional establecida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40/2020, de 27 de febrero, FJ 3, ha abordado el examen de la misma queja de fondo planteada en este recurso, en la que se aduce también la vulneración del art. 24.1 CE como consecuencia de la inadmisión por extemporáneo del escrito de oposición a la ejecución. Se advierte en ella que para su solución resulta de aplicación la doctrina del tribunal plasmada en las SSTC 6/2019, de 17 de enero, FJ 4 a) (iii), dictada al resolver una cuestión de inconstitucionalidad planteada en relación con el último inciso del artículo 152.2 LEC, y 47/2019, de 8 de abril, FJ 4 a), recaída en un proceso de amparo, en relación con la garantía de emplazamiento personal inicial del demandado o ejecutado en los procesos regidos en esta materia por la Ley de enjuiciamiento civil (directa o supletoriamente). En ellas se ha concluido que no procede efectuar por medios electrónicos la citación o emplazamiento del demandado aún no personado en el procedimiento, dado que estos actos deben realizarse por remisión a su domicilio, y que dicha forma de comunicación no puede ser sustituida por otra electrónica, como la efectuada a través de la dirección electrónica habilitada. Tal emplazamiento personal se exige en el art. 155.1 LEC. Es complemento de este requisito la regla establecida en el art. 273.4 LEC sobre la presentación en papel de las copias de los escritos y documentos que sustenten la acción. El incumplimiento de aquel deber del órgano judicial, “acarrea por tanto la conculcación de aquel derecho fundamental”, tal como tiene declarado el tribunal en varios recursos de amparo que se refieren a procesos laborales, civiles y concursales, los cuales aparecen especificados en el mismo fundamento jurídico 3,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permite concluir ahora, al igual que se hizo en la STC 40/2020, FJ 4, que las dos resoluciones judiciales impugnadas vulneraron el derecho a la tutela judicial efectiva sin indefensión de la recurrente por no proceder a su emplazamiento personal en el proceso a efectos de requerirla de pago o, alternativamente, permitirle presentar su oposición a la ejecución, ya que el órgano judicial optó, en cambio, por un emplazamiento electrónico mediante el servicio de notificaciones electrónicas y dirección electrónica habilitada de la Fábrica Nacional de Moneda y Timbre. Por otra parte, el plazo para presentar el escrito de oposición fue computado invocando normas del procedimiento administrativo común que son ajenas al ámbito jurisdiccional en el que nos encontramos.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resolución, el presente recurso de amparo ha de ser estimado en aplicación de la doctrina fijada en las SSTC 47/2019 y 40/2020 apreciando la vulneración del derecho a la tutela judicial efectiva sin indefensión de la entidad demandante (art. 24.1 CE). De conformidad con lo establecido en el art. 55 LOTC, procede declarar la nulidad de los autos impugnados del Juzgado de Primera Instancia e Instrucción núm. 5 de Lorca, así como de todo lo actuado en el procedimiento de ejecución hipotecaria desde que se proveyó a su emplazamiento por medio de la dirección electrónica habilitada, y ordenar la retroacción de las actuaciones a este momento a fin de que el juzgado lleve a cabo dicho emplazamiento de manera respetuosa con el derecho fundamental de la demandante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Penrei Inversiones, S.L.,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recurrente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los autos de 21 de septiembre de 2018 y 27 de febrero de 2019, dictados por el Juzgado de Primera Instancia e Instrucción núm. 5 de Lorca en el proceso de ejecución hipotecaria núm. 362-2018, así como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demandante de amparo, debiendo llevarse a cabo de nuevo este último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marzo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