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46</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3057-2019, promovido por Euroinversiones Inmobiliarias Costa Sur, S.L., representada por la procuradora de los tribunales doña Blanca Berriatua Horta y bajo la dirección del letrado don Marcelino Gilabert García, contra los autos de 18 de diciembre de 2018 y de 21 de marzo de 2019, dictados por el Juzgado de Primera Instancia e Instrucción núm. 6 de Lorca en el proceso de ejecución hipotecaria núm. 45-2018. Han intervenido el Ministerio Fiscal. Se ha personado la entidad Pera Assets Designated Activity Company, actuando como sucesora procesal de la entidad ejecutante.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16 de mayo de 2019, la mercantil Euroinversiones Inmobiliarias Costa Sur, S.L., representada por la procuradora de los tribunales doña Blanca Berriatua Horta y bajo la dirección del letrado don Marcelino Gilabert García, interpuso recurso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6 de Lorca, a instancias de la entidad Banco de Sabadell, S.A., se sigue procedimiento de ejecución núm. 45-2018 frente a la sociedad Euroinversiones Inmobiliarias Costa Sur, S.L., en calidad de prestataria e hipotecante y Penrei Inversiones, S.L., como titular del derecho de uso del citado bien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Despachada ejecución por auto de 23 de mayo de 2018, el día 25 de mayo de 2018, el servicio de notificaciones de la Fábrica Nacional de Moneda y Timbre remitió a la demandante de amparo, a través de la dirección electrónica habilitada, sendos avisos de notificación, a las 15:39 y 16:00 horas, con idéntico contenido, en que se dice lo siguiente: “ha recibido una notificación del organismo emisor de los Juzgados y Tribunales (SGAJ) en la Dirección Electrónica Habilitada única de su titular Euroinversiones Inmobiliarias Costa Sur, S.L. NIF B73258006. La notificación estará disponible en su Dirección Electrónica Habilitada única desde el 25-05-2018 hasta el 10-07-2018. Si no procediera a su lectura en el plazo indicado se producirán los efectos correspondientes, según la normativa aplicable. Para que conste como leída por favor acceda a http://notificaciones.060.es. A través de su DEH podrá también consultar notificaciones de otras administraciones. Asunto JDO. 1 INST E INTR. N6 DE LORCA EJH 000045/2018. Reciba un cordial saludo”. Hay que advertir que no se contiene en estos avisos ninguna información adicional en la que se faciliten los enlaces para consultar la comunicación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9 de julio de 2018, es decir, un día antes de la finalización del plazo concedido en los anteriores avisos, la sede electrónica remitió un nuevo correo electrónico, en el que se avisa a la demandante de amparo que tiene “notificaciones y/o comunicaciones” sin recoger en la dirección electrónica habilitada única de la que es titular, recordándole el plazo de caducidad, esto es, el día 10 de julio de 2018, a las 23:59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10 de julio de 2018, último día del plazo concedido para acceder a la notificación, la demandante de amparo accedió a la página web indicada, teniendo acceso a la notificación y documentación que la acompañaba, emitiéndose en esa misma fecha por el servicio de notificaciones dos certificados en los que se hace constar el resultado de dichas notificaciones, concretamente la fecha de puesta a disposición y la de aceptación por la destinataria. Sin embargo, al acceder a la documentación, repara en que entre los mismos no se encuentra el auto de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sociedad demandante de amparo se personó en las actuaciones el 28 de agosto de 2018, para poner de manifiesto que, con fecha 10 de julio de 2018, había recibido una comunicación del servicio de notificaciones electrónicas en la que le participaban la existencia de una notificación pendiente de entrega y que, al acceder a su contenido, constata que no todos los archivos que se dicen enviados habían sido recepcionados. Expuso en su escrito que, a su entender, la comunicación practicada carecía de validez, al no constar enviados todos los documentos que se citaban, en particular el auto que acordada el despacho de ejecución. Por ello, con amparo en el art. 166 de la Ley de enjuiciamiento civil (LEC), solicitaba la nulidad del acto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anterior escrito de nulidad fue tramitado y resuelto por auto de13 de diciembre de 2018 en sentido desestimatorio. En el fundamento jurídico único el órgano judicial razona que “[e]n el caso que nos ocupa, es cierto que el auto por el que se despachaba ejecución no se incluyó entre la documentación que se remitió a la mercantil ejecutada a través de la sede electrónica, y que reconoce recibida el día 25/05/2018, esto es, la demanda de ejecución y los documentos que la acompañaban, así como el decreto despachando ejecución, donde se incluía igualmente la mención a las cantidades reclamadas y por las que se debía realizar el requerimiento de pago y la propia cédula de requerimiento de pago. Ahora bien, examinadas las actuaciones, se concluye que el ejecutado no sufrió indefensión, ya que dicha omisión material podría haberse subsanado si el ejecutado hubiese adoptado una postura activa, poniendo la misma de manifiesto en el plazo que la ley le concedía para formular oposición a la ejecución, algo que no realizó, por lo que solo al mismo es achacable la supuesta indefensión que se alega. En consecuencia, procede la desestimación de la nulidad de actuaciones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Durante la sustanciación del incidente de nulidad, el órgano judicial volvió a emitir el 1 de junio de 2018, por la misma vía telemática, otra notificación con relación al mismo proceso de ejecución, adjuntando el auto de despacho de ejecución, advirtiendo, de nuevo, que dicha notificación estaría disponible hasta el 17 de julio de 2018. El último día del plazo, la demandante accedió y descargó los documentos adjuntos, entre los cuales se encontraba el decreto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fecha 20 de julio de 2018, se remite un nuevo archivo, dando plazo hasta el 4 de septiembre de 2018 para acceder al mismo, cuyo contenido era un auto aclaratorio del anterior. Lo que llevó a cabo la demandante de amparo en fecha de 26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día 3 de septiembre de 2018, la sociedad ejecutada formuló oposición al despacho de ejecución, que fue inadmitida por presentación extemporánea, mediante auto de 14 de septiembre de 2018. Para el órgano judicial, “en fecha de 30-5-18 se notificó y requirió a la ejecutada en legal forma a través de la sede judicial electrónica y en fecha 4-9-18 se ha presentado por Euroinversiones Inmobiliarias Costa Sur, S.L., y Penrei Inversiones, S.L., oposición a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auto de 18 de diciembre de 2018, se vuelve a dictar auto por el que se vuelve a inadmitir el trámite de oposición por las mismas razones y fundamentos. Así, se afirma que “en fecha 25-05-2018 se notificó y requirió en legal forma a través de la sede electrónica al demandado y en fecha 04-09-18 se ha presentado por Euroinversiones Inmobiliarias Costa Sur, S.L., y Penrei Inversiones, S.L., oposición a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estas dos últimas resoluciones, la ejecutada interpuso sendos recursos de reposición, en la consideración de que las diligencias de notificación y requerimiento no habían sido realizadas el día 25 de mayo de 2018, sino, en su caso, a partir de esa fecha y hasta el 10 de julio de 2018, dado que la comunicación remitida a través de la dirección electrónica habilitada no podía entenderse más que un aviso de puesta a disposición o descarga de su contenido durante un plazo determinado (en el caso desde el 25 de mayo al 10 de julio de 2018); entenderlo de otro modo, además de infringir los arts. 135, 152, 160, y 162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Ambos recursos fueron resueltos en sentido desestimatorio por auto de 21 de marzo de 2019. El órgano judicial, al constatar su condición de persona jurídica, confirma su obligación de relacionarse con la administración de justicia por medios electrónicos, de conformidad con lo previsto en la disposición transitoria cuarta de la Ley 42/2015, de 5 de octubre, de reforma de la Ley de enjuiciamiento civil, así como en el art. 14.2 de la Ley 39/2015 y en el Real Decreto 1065/2015, de 27 de enero, sobre comunicaciones electrónicas en la administración de justicia en el ámbito territorial del Ministerio de Justicia y por el que se regula 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fundamento jurídico segundo, el órgano judicial razona que “en el presente caso, consta que la notificación se puso a disposición de las recurrentes en fecha 25-05-2018 no accediendo al contenido hasta el día 26-07-2018 (fuera de los tres días que establece la normativa procesal), presentando los escritos de oposición a la ejecución en fecha 04-09-2018 claramente fuera del plazo legalmente establecido en el art. 556.1 de la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los autos impugnados de 18 de diciembre de 2018 y de 21 de marzo de 2019, la vulneración del derecho fundamental de la sociedad recurrente al proceso (art. 24 CE), “al darle conocimiento de la existencia del procedimiento a través de un correo electrónico al que se le da el carácter de emplazamiento y primera notificación para personarse en unas actuaciones sin constatar la existencia misma de su recepción íntegra y del acceso de mi representada al contenido de los documentos que se pretendían notificar mediante el emplazamiento por vía telemática y, a pesar de ello, no se realiza otro tipo de gestión para dejar constancia en las actuaciones de la efectiva recepción de la notificación por el destinatario de misma”. Considera que la interpretación ofrecida en el auto objeto de impugnación, que se apoya en la Ley del procedimiento administrativo eludiendo las garantías de un proceso judicial, cercena el derecho a la tutela judicial efectiva al privar a la recurrente del derecho a formular oposición en un proceso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que, de conformidad con el art. 273 LEC, su pretendida obligación de comunicarse telemáticamente con la administración de justicia no nace hasta después del primer emplazamiento pues, hasta entonces, ninguna relación ha tenido con dicha administración, lo que viene avalado por una interpretación sistemática de este precepto con los arts. 152, 155, 160 y 162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solicita, en consecuencia, la anulación de las resoluciones indicadas, así como la retroacción al momento procesal oportuno, previo al dictado del auto de 14 de septiembre de 2018, a fin de que el juzgado admita a trámite su oposición al despacho de ejecución. El recurso pide también por otrosí la suspensión del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15 de junio de 2020, la Sección Tercera de este tribunal acuerda admitir a trámite el recurso, apreciando que reviste especial trascendencia constitucional [art. 50.1 de la Ley Orgánica del Tribunal Constitucional (LOTC)], toda vez que plantea un problema o afecta a una faceta de un derecho fundamental sobre el que no hay doctrina de este tribunal [STC 155/2009, FJ 2 a)] y puede dar ocasión al tribunal para aclarar o cambiar su doctrina, como consecuencia de cambios normativos relevantes para la configuración del contenido del derecho fundamental [STC 155/2009, FJ 2 b)]. Acuerda igualmente dirigir atenta comunicación al Juzgado de Primera Instancia e Instrucción núm. 6 de Lorca, a fin de que, en el plazo de diez días, remita certificación o fotocopia adveradas de las actuaciones correspondientes a la ejecución hipotecaria núm. 45-2018 y emplace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la Sección acuerda formar la oportuna pieza para la tramitación del incidente de suspensión. Seguidos los trámites correspondientes, la Sala Primera de este tribunal, mediante ATC 103/2020, de 23 de septiembre, deniega la suspensión cautelar solicitada y ordena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13 de julio de 2020, doña María Claudia Munteanu, procuradora de los tribunales, en nombre de la mercantil Pera Assets Designated Activity Company y bajo la dirección técnica del letrado don Alejandro Ingram Solís, compareció ante este tribunal, haciendo constar que la entidad Banco de Sabadell le ha cedido el crédito hipotecario y que, en virtud del régimen de sucesión procesal, las actuaciones deben continuarse con ella. Solicita que se la tenga por parte y que se entiendan con ella las diligencias sucesivas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28 de octubre de 2020, el secretario de justicia de la Sala Segunda acordó tener por personado y parte en el procedimiento a la procuradora doña María Claudia Munteanu en nombre y representación de la mercantil Pera Assets Designated Activity Company, acordándose entender con ella las sucesivas actuaciones, así como dar vista de las actuaciones a la parte recurrente y al Ministerio Fiscal por plazo común de veinte días, para que puedan presentar las alegaciones que estimen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 de diciembre de 2020 tiene entrada en el registro de este tribunal escrito de la recurrente en amparo, en el que ratifica las alegaciones expuestas en la demanda y trascribe en parte los fundamentos jurídicos de la STC 40/2020, de 27 de febrero, en la que el Pleno de este tribunal ha resuelto un recurso de amparo casi idéntico, señalando que, tratándose del primer emplazamiento o citación al demandado, este ha de efectuarse en el domicilio del litigante en papel, como impone el art. 155.1 LEC, pues de lo contrario se estaría vulnerando el derecho a la tutela judicial efectiva sin indefensión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en este tribunal el 23 de noviembre de 2020, solicitando el otorgamiento del amparo, el reconocimiento de la vulneración del derecho de la recurrente a la tutela judicial efectiva sin indefensión y la nulidad de todo lo actuado desde la notificación electrónica del auto de despacho de la ejecución, con retroacción de las actuaciones al momento anterior. Advierte, en primer lugar, la diferencia existente entre el supuesto planteado en este recurso de amparo con los del resto de la serie de los interpuestos por Euroinversiones Inmobiliarias Costa Sur, S.L., a los que les es aplicable la doctrina contenida en la STC 40/2020, relativa a la necesidad de que los actos de comunicación se realicen en el domicilio de los litigantes cuando se trata del primer emplazamiento o citación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sin embargo, se ha producido un error en las fechas a tener en cuenta por el órgano judicial para valorar la posible extemporaneidad de la oposición a la ejecución, pues debió considerarse como dies a quo, no el de la primera notificación, con independencia de que pudiera haber devenido nula por no haberse practicado personalmente y con traslado de toda la documentación de conformidad con los arts. 152.2 y 273.4 LEC, sino que la fecha de inicio del cómputo era la de 20 de julio de 2018, en la que se le dio traslado del auto de aclaración de aquel que despacha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este argumento, se cita la STC 90/2010, FJ 3, en la que incidimos en que, en supuestos como este, “debe tenerse en cuenta que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 Así lo disponía el art. 407 de la vieja Ley de enjuiciamiento civil de 1881 (‘[e]n los casos en que se pida aclaración de una sentencia conforme a lo prevenido en el artículo 363, el término para interponer el recurso que proceda contra la misma sentencia se contará desde la notificación del auto en que se haga o deniegue la aclaración’); y así lo establecen actualmente tanto el apartado 2 del art. 448 LEC de 2000 (‘[l]os plazos para recurrir se contarán desde el día siguiente al de la notificación de la resolución que se recurra, o, en su caso, a la notificación de su aclaración o de la denegación de esta’), como el apartado 8 del art. 267 LOPJ (en la redacción dada a este precepto por la Ley Orgánica 19/2003, de 23 de diciembre), que prevé que: ‘Los plazos para los recursos que procedan contra la resolución de que se trate se interrumpirán desde que se solicite su aclaración, rectificación, subsanación o complemento y, en todo caso, comenzarán a computarse desde el día siguiente a la notificación del auto que reconociera o negase la omisión de pronunciamiento y acordase o denegara remediarla’”. En consecuencia, aplicada esta doctrina al caso que nos ocupa, debe tomarse como dies a quo, la fecha de notificación del auto de aclaración del despacho de ejecución, esto es, la de 20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señala la fiscal, que de conformidad con lo declarado por este tribunal en su STC 217/2009, FJ 3, “el derecho a la obtención de un pronunciamiento jurisdiccional sobre el fondo de la pretensión, como parte del derecho a la tutela judicial efectiva garantizado en el art. 24.1 CE, se satisface también con una respuesta de inadmisión fundada en una causa legal que haya sido apreciada razonablemente por el órgano judicial (así, y entre otras, ya desde nuestra temprana STC 11/1982, de 29 de marzo, las SSTC 69/1984, de 11 de junio, y, entre las más recientes, 8/1998, de 13 de enero, y 122/1999, de 28 de junio). Por ello, las decisiones judiciales de inadmisión no son, en principio, revisables en la vía de amparo, salvo que vulneren el derecho a la tutela judicial efectiva, lo que ocurre cuando carecen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230/2000, de 2 de octubre). El control constitucional de estas decisiones de inadmisión se realiza de forma especialmente intensa cuando determinan la imposibilidad de obtener una primera respuesta judicial (SSTC 87/1986, de 27 de junio, y 118/1987, de 8 de julio, hasta la STC 16/1999, de 22 de febrero), atenuándose ese control en fase de recurso (por todas, SSTC 37/1995, de 7 de febrero, 115/1999, de 14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a juicio del Ministerio Fiscal, hay que añadirle lo declarado en la STC 11/2011, FJ 17, respecto a la posibilidad de apreciar la lesión del derecho a la tutela judicial efectiva (art. 24.1 CE), en aquellos pronunciamientos judiciales relativos a la caducidad de la acción “cuando determina bien la inadmisión de la acción —así ocurre en el presente caso—, bien la pérdida de algún trámite procesal que impida la defensa, señalándose que sucederá de ese modo cuando la inadmisión se acuerde ‘como consecuencia de un error en el cómputo del plazo, de una interpretación de la legalidad arbitraria o irrazonable o, en fin, de la utilización de un criterio interpretativo desfavorable para la efectividad del derecho fundamental entendida como desproporcionadamente formalista (STC 88/1997). Siendo así, resulta indudable que en el presente supuesto, la interpretación del órgano judicial trasciende el ámbito de la legalidad ordinaria, puesto que determina la caducidad de la acción e impide todo pronunciamiento sobre el fondo’ (STC 104/1997, de 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referida doctrina, la fiscal concluye que el juzgado erró en la determinación del dies a quo y, en consecuencia, vulneró el derecho a la tutela judicial efectiva ex art. 24.1 CE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febrero de 2021, se señaló para votación y fallo del presente recurso el día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El presente recurso de amparo tiene por objeto la impugnación de los autos de 18 de diciembre de 2018 y de 21 de marzo de 2019, dictados por el Juzgado de Primera Instancia e Instrucción núm. 6 de Lorca en el proceso de ejecución hipotecaria núm. 45-2018.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entidad mercantil demandante de amparo, una interpretación irrazonable de la legislación procesal le habría privado injustamente de su derecho a formular oposición a la ejecución hipotecaria. Tratándose de un primer emplazamiento, el requerimiento de pago y alternativo derecho a oponerse a la demanda ejecutiva debió realizarse de manera personal en su domicilio social con entrega en papel de la documentación, y no mediante el servicio de notificaciones electrónicas y de dirección electrónica habilitada de la Fábrica Nacional de Moneda y Timbre. El órgano judicial habría incumplido su obligación de asegurar, no ya la legalidad formal de los actos de comunicación, sino el cumplimiento efectivo de su finalidad constitucional. Añade que el órgano judicial igualmente habría incurrido en un error en el cómputo del plazo para presentar la oposición a la ejecución, en tanto no podía iniciarse hasta que no le fue notificado el auto aclaratorio del auto de despacho de la ejecución, es decir, hasta el 20 de julio de 2018. Todo ello constituiría una vulneración del derecho fundamental de la demandante de amparo a la tutela judicial efectiva sin indefensión (art. 24 CE). Solicita, en consecuencia, la anulación de las resoluciones indicadas, así como la retroacción al momento procesal oportuno, previo al dictado del auto de 14 de septiembre de 2018, a fin de que el juzgado admita a trámite su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solicita la estimación de la demanda de amparo y la nulidad de todo lo actuado desde la notificación electrónica del auto de despacho de la ejecución con retroacción de las actuaciones al momento anterior. En tal sentido, subraya que, a diferencia de lo acontecido en recursos de amparo similares que han sido interpuestos por la misma demandante de amparo contra el sistema de notificación electrónica del primer emplazamiento del demandado, en este caso, el problema se ciñe a un error respecto al cómputo del plazo para ejercitar la oposición a la ejecución hipotecaria, pues el órgano judicial ha tomado como dies a quo la fecha de la primera notificación, sin tener en consideración el iter procesal habido desde entonces. Entiende que, de acuerdo con la jurisprudencia de este tribunal, debe tomarse como fecha de inicio del plazo la de 20 de julio de 2018, pues es aquella en la que se comunicó el auto aclaratorio del auto por el que se despachó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acertadamente pone de manifiesto la fiscal, el asunto sometido a nuestra consideración, si bien vuelve a plantear el problema de la posible vulneración del derecho a la tutela judicial efectiva debida a la notificación al demandado del primer emplazamiento por vía electrónica, su análisis debe comenzar por la primera de las lesiones causadas a la recurrente en tal derecho fundamental (art. 24.1 CE), es decir por el cálculo erróneo del plazo para oponerse a la ejecución llevado a cabo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hemos de llamar la atención sobre el hecho de que no es la primera vez que este tribunal debe pronunciarse sobre esta cuestión, pues son numerosos nuestros pronunciamientos. De este modo, basta con recordar que, si bien “el cómputo de los plazos procesales es una cuestión de legalidad ordinaria que compete resolver a los órganos judiciales en el ejercicio de su propia y exclusiva potestad jurisdiccional, ex art. 117.3 CE”, también lo es que “el problema solo adquiere relevancia constitucional cuando la interpretación de la normativa aplicable al supuesto controvertido que determina la inadmisibilidad del recurso sea manifiestamente irrazonable o arbitraria, incurra en error patente o asuma un criterio hermenéutico contrario a la efectividad del derecho a la tutela judicial (SSTC 201/1987, 200/1988, 32/1989, 155/1991, 132/1992, 75/1993, 302/1994 y 165/1996)” (STC 209/2013,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se ha insistido en que la caducidad de la acción “constituye una de esas causas legales que impiden un pronunciamiento sobre el fondo, siendo su cómputo —como, en general, el de todos los plazos sustantivos y procesales— una cuestión de estricta legalidad ordinaria que corresponde valorar a los órganos judiciales”. No obstante, pese a ello, se ha mantenido reiteradamente que la interpretación de las normas legales que realizan aquellos es revisable en amparo cuando la apreciación de la caducidad afecta a un derecho fundamental, como ocurre cuando determina, bien la inadmisión de la demanda —así ocurre en el presente caso—, bien la pérdida de algún trámite procesal que impida la defensa, señalándose que sucederá de ese modo cuando la inadmisión se acuerde “‘como consecuencia de un error en el cómputo del plazo, de una interpretación de la legalidad arbitraria o irrazonable o, en fin, de la utilización de un criterio interpretativo desfavorable para la efectividad del derecho fundamental entendida como desproporcionadamente formalista (STC 88/1997). Siendo así, resulta indudable que en el presente supuesto, la interpretación del órgano judicial trasciende el ámbito de la legalidad ordinaria, puesto que determina la caducidad de la acción e impide todo pronunciamiento sobre el fondo’ (STC 104/1997, de 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este caso, el tribunal entiende que el Juzgado de Primera Instancia e Instrucción núm. 6 de Lorca ha padecido un error de hecho al considerar que el cómputo para la oposición a la ejecución debía comenzar en el momento en el que se notificó a la demandante de amparo el auto despachando la ejecución, esto es, el 25 de mayo de 2018, obviando por consiguiente el trámite de aclaración del mismo que concluyó con su pertinente auto de fecha de 20 de julio de 2018, pues como expresa la STC 90/2010, FJ 3,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aplicarse la doctrina recogida en la STC 11/2011, según la cual entendemos que “son casos de error facti aquellos en los que únicamente está en cuestión el cómputo o cálculo de un plazo a la vista de una inequívoca redacción de norma que lo regula, o de una interpretación constante y reiterada de la misma que aplican los órganos judiciales. En otras palabras, son supuestos en los que, sin existir duda o debate alguno sobre la interpretación de las normas que regulan el plazo, o determinada en todo caso la interpretación de la norma que contiene su régimen, se produce un mero error de cálculo, bien por errarse en la determinación del dies a quo, bien por equivocarse el juzgador en el cómputo, errando en la determinación del dies ad quem del plazo. Ejemplos de ello se encuentran en nuestras SSTC 25/1986, de 19 de febrero; 167/1999, de 27 de septiembre; 66/2000, de 13 de marzo; 89/2000, de 27 de marzo; 150/2000, de 12 de junio, o 362/2006, de 18 de diciembre, en las que se opera la revisión constitucional de la resolución recurrida con los criterios del error de hecho a los que hacíamos referencia en fundamentos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corresponde declarar que los autos de 18 de diciembre de 2018 y de 21 de marzo de 2019 del Juzgado de Primera Instancia e Instrucción núm. 6 de Lorca han vulnerado el derecho a la tutela judicial efectiva de la recurrente en amparo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y con el fin de evitar una nueva notificación del primer emplazamiento de la demandante de amparo por vía electrónica, este tribunal debe recordar lo expresado en la STC 40/2020, de 27 de febrero, en el sentido de que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mercantil Euroinversiones Inmobiliarias Costa Sur,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en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 los autos de 18 de diciembre de 2018 y de 21 de marzo de 2019, dictados por el Juzgado de Primera Instancia e Instrucción núm. 6 de Lorca en el proceso de ejecución hipotecaria núm. 45-2018,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