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5128-2019, promovido por la entidad Penrei Inversiones, S.L., contra el auto del Juzgado de Primera Instancia e Instrucción núm. 5 de Lorca de 25 de junio de 2019, por el que se desestima el recurso de reposición interpuesto contra el auto de 21 de septiembre de 2018, por el que se inadmite el escrito de oposición a la ejecución hipotecaria en el procedimiento de ejecución hipotecaria núm. 378-2018. Ha comparecido la entidad Pera Assets Designated Activity Company.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entidad Penrei Inversiones, S.L., representada por la procuradora de los tribunales doña Blanca Berriatua Horta, y bajo la asistencia de la letrada doña Anju Nirmala Benavent Rodríguez, interpuso recurso de amparo contra las resoluciones judiciales que se mencionan en el encabezamiento de esta sentencia mediante escrito registrado en este tribunal el 9 de septiembre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promovió un procedimiento de ejecución hipotecaria frente a las sociedades Euroinversiones Inmobiliarias Costa Sur, S.L., en calidad de prestataria e hipotecante, y Penrei Inversiones, S.L., en calidad de titular registral de un derecho de uso y disfrute sobre el inmueble hipotecado, que fue tramitado por el Juzgado de Primera Instancia e Instrucción núm. 5 de Lorca con el núm. 378-2018.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acordó despachar ejecución mediante auto de 14 de junio de 2018 frente a las sociedades demandadas. El citado auto y el decreto de la misma fecha que le sigue, acordando las medidas de ejecución y el requerimiento de pago al ejecutado, fueron comunicados a las citadas entidades a través de la sede judicial electrónica el día 18 de junio de 2018; fecha en la que se recibió en la dirección electrónica habilitada de ambas entidades un mensaje del servicio de notificaciones electrónicas de la Fábrica Nacional de Moneda y Timbre con el aviso de que hasta el 3 de agosto siguiente tendrían disponible una notificación relacionada con el procedimiento 378-2018, a la que, para que constase como leída, debía acceder a través de un enlace adjunto. La ejecutada accedió a dicho enlace el 25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demandante de amparo presentó el 31 de julio de 2018 escrito de oposición a la ejecución despachada. Por auto de 21 de septiembre de 2018, el órgano judicial acordó la inadmisión de la oposición formulada por entender extemporánea su presentación, tras tomar como fecha de emplazamiento el 18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demandante de amparo interpuso recurso de reposición, alegando que la notificación y requerimiento no habían de entenderse realizadas el 18 de junio de 2018, sino el 25 de julio siguiente, y que la comunicación remitida a través de la dirección electrónica habilitada no constituye sino un aviso de puesta a disposición para descarga de su contenido durante un plazo determinado; poniendo de manifiesto que, entenderlo de otro modo, además de infringir los arts. 135, 152, 160 y 162 de la Ley de enjuiciamiento civil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fue desestimado por auto de 25 de junio de 2019 con fundamento en que las entidades ejecutadas tienen la condición de persona jurídica y, por tanto, están obligadas a relacionarse con la administración de justicia por medios electrónicos, de conformidad con lo previsto en la disposición transitoria cuarta de la Ley 42/2015, de 5 de octubre, de reforma de la Ley de enjuiciamiento civil, así como en los arts. 14.2 a) de la Ley 39/2015 del procedimiento administrativo común de las administraciones públicas, y 273.3 LEC. Según el auto, el art. 162.2 LEC impone que la comunicación electrónica surte efecto trascurridos tres días desde que fue efectuada sin que el destinatario acceda a su contenido. Concluye que, al constar que la notificación se puso a disposición de las ejecutadas el 18 de junio de 2018, la presentación del escrito de oposición el 31 de julio de 2018 se produjo fuera del plazo legalmente establecido en el art. 556.1 LEC, esto es, más allá de los diez días siguientes al de la notificación del auto despachando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que las resoluciones judiciales impugnadas han vulnerado su derecho a la tutela judicial efectiva sin indefensión (art. 24.1 CE), al haberse efectuado su emplazamiento como ejecutada a través de un correo electrónico remitido por un servicio de notificaciones electrónicas y no mediante entrega de la documentación correspondiente en papel en la sede de su domicilio social; y ello pese a que esa comunicación fue el primer emplazamiento en la causa. Además, señala que, en todo caso, siguió las indicaciones que le facilitó la comunicación electrónica, de manera que accedió al contenido de la notificación dentro del plazo fijado de disponibilidad;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insiste en que, por ser una persona jurídica, si bien está obligada a relacionarse con la administración de justicia a través de medios electrónicos, según establece el art. 273 LEC; sin embargo, cuando se trata del primer emplazamiento y, por tanto, todavía no se ha tenido ninguna relación con el juzgado correspondiente en ese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establece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además, expone que el auto de 25 de junio de 2019 fundamenta su decisión en la Ley del procedimiento administrativo común, norma que es inaplicable al ámbito procesal civil, puesto que además de existir normas concretas al respecto, no se dan en uno y otro ámbito las mismas garantías procedimentales. Precisa que en materia de notificación de actos procesales resulta aplicable tanto la Ley de enjuiciamiento civil como el art. 24 CE, que reconoce el derecho a la tutela judicial efectiva. Alega finalmente que se ha producido también una vulneración del derecho a un proceso con todas las garantías (art. 24.2 CE), en las vertientes del derecho a la defensa contradictoria y del derecho a la asistencia letrada, las cuales permiten en todos los órdenes jurisdiccionales evitar desequilibrios en la posición procesal de las partes, sin limitaciones a su defensa que pudieran en caso contrario ocasionar indefensión a alguna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solicita que se estime el recurso del amparo, acordando la nulidad de las resoluciones judiciales impugnadas y se ordene reponer las actuaciones al momento previo al dictado de la primera de las resoluciones judiciales impugnadas, a fin de que el juzgado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29 de junio de 2020, acordó admitir a trámite el recurso de amparo apreciando que concurre en el mismo una especial trascendencia constitucional [art. 50.1 de la Ley Orgánica del Tribunal Constitucional (LOTC)] porque plantea un problema o afecta a una faceta de un derecho fundamental sobre el que no hay doctrina de este Tribunal [STC 155/2009, FJ 2 a)] y puede dar ocasión para aclarar o cambiar su doctrina, como consecuencia de cambios normativos relevantes para la configuración del contenido del derecho fundamental [STC 155/2009, FJ 2 b)]; dirigir atenta comunicación al órgano judicial para el emplazamiento de quienes hubieran sido parte en el procedimiento para que puedan comparecen en el recurso de amparo; y la formación de la pieza separada de suspensión, que fue resuelta por ATC 86/2020, de 22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entidad Pera Assets Designated Activity Company, representada por la procuradora de los Tribunales doña Blanca María Grande Pesquero, bajo la asistencia del letrado don Alejandro Ingram Solís, por escrito registrado el 28 de julio de 2020,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5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Sección Tercera del tribunal, por diligencia de ordenación de 12 de febrero de 2021, tuvo por personada y parte a la procuradora doña Blanca María Grande Pesquero en la representación acreditada y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el 10 de marzo de 2021, presentó sus alegaciones interesando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formular oposición a la ejecución”. El Ministerio Fiscal fundamenta esta petición en la jurisprudencia constitucional establecida en las SSTC 40/2020, de 27 de febrero, y 43/2020, de 9 de marzo, en las que, entre otras, se han resulto demandas de amparo semejantes a la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recurrente presentó sus alegaciones el 17 de marzo de 2021, remitiéndose a lo expuesto en su demanda, haciendo mención adicional a la STC 40/2020, de 27 de febrero, en la que el tribunal resolvió estimatoriamente un asunto prácticamente idéntico al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jurisprudencia constitucional establecida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27 de febrero, FJ 3, ha abordado el examen de la misma queja de fondo planteada en este recurso, en la que se aduce también la vulneración del art. 24.1 CE como consecuencia de la inadmisión por extemporáneo del escrito de oposición a la ejecución. Se advierte en ella que para su solución resulta de aplicación la doctrina del Tribunal plasmada en las SSTC 6/2019, de 17 de enero, FJ 4 a), (iii), dictada al resolver una cuestión de inconstitucionalidad planteada en relación con el último inciso del artículo 152.2 LEC, y 47/2019, de 8 de abril, FJ 4 a), recaída en proceso de amparo, en relación con la garantía de emplazamiento personal inicial del demandado o ejecutado en los procesos regidos en esta materia por la Ley de enjuiciamiento civil (directa o supletoriamente). En ellas se ha concluido que no procede efectuar por medios electrónicos la citación o emplazamiento del demandado aún no personado en el procedimiento, dado que esos actos deben realizarse por remisión a su domicilio, sin que dicha forma de comunicación pueda ser sustituida por otra electrónica, como puede ser el caso de la efectuada a través de la dirección electrónica habilitada. Tal emplazamiento personal se exige en el art. 155.1 LEC, del que es complemento la regla establecida en el art. 273.4 LEC sobre la presentación en papel de las copias de los escritos y documentos que sustenten la acción. El incumplimiento de este deber del órgano judicial, “acarrea por tanto la conculcación de aquel derecho fundamental”, tal y como ya ha declarado el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se hizo en la STC 40/2020, FJ 4, que las dos resoluciones judiciales impugnadas vulneraron el derecho a la tutela judicial efectiva sin indefensión de la recurrente, por no proceder a su emplazamiento personal en el proceso a efectos de requerirla de pago o, alternativamente, permitirle presentar su oposición a la ejecución, optando, en cambio, el órgano judicial por un emplazamiento electrónico a través del servicio de notificaciones electrónicas y dirección electrónica habilitada de la Fábrica Nacional de Moneda y Timbre. Además, el plazo para presentar el escrito de oposición fue computado invocando normas del procedimiento administrativo común que son ajenas al ámbito jurisdiccional en el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presente recurso de amparo ha de ser estimado en aplicación de la doctrina fijada en las SSTC 47/2019 y 40/2020 y declararse la vulneración del derecho a la tutela judicial efectiva sin indefensión de la entidad demandante (art. 24.1 CE). De conformidad con lo establecido en el art. 55 LOTC, procede declarar la nulidad de los autos impugnados del Juzgado de Primera Instancia e Instrucción núm. 5 de Lorca, así como de todo lo actuado en el procedimiento de ejecución hipotecaria desde que se proveyó a su emplazamiento a través de la dirección electrónica habilitada, con retroacción de las actuaciones hasta este momento a fin de que el juzgado proceda a efectuar dicho emplazamiento de manera respetuosa con el derecho fundamental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haestimar el recurso de amparo interpuesto por Penrei Inversiones,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los autos de 21 de septiembre de 2018 y 25 de junio de 2019, dictados por el Juzgado de Primera Instancia e Instrucción núm. 5 de Lorca en el proceso de ejecución hipotecaria núm. 378-2018, así como de las actuaciones realizadas a partir del emplazamiento de la entidad recurrente a través de la dirección electrónica habilitada, en lo que respecta exclusivamente a la demandante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demandante de amparo, debiendo llevarse a cabo de nuevo este último de forma que resulte respetuosa con el derecho fundamental reconocido.</w:t>
      </w:r>
    </w:p>
    <w:p w:rsidRPr="" w:rsidR="00F31FAF" w:rsidRDefault="00356547">
      <w:pPr>
        <w:rPr/>
      </w:pPr>
      <w:r w:rsidRPr="&lt;w:rPr xmlns:w=&quot;http://schemas.openxmlformats.org/wordprocessingml/2006/main&quot;&gt;&lt;w:szCs w:val=&quot;24&quot; /&gt;&lt;/w:rPr&gt;">
        <w:rPr/>
        <w:t xml:space="preserve"> decidido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