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Pamplona, planteó la presente cuestión de inconstitucionalidad, admitida a trámite por providencia de la Sección Segunda de 27 de noviembre de 1985, en relación con la Ley 5/1983, de 29 de junio, de Medidas Urgentes en Materia Presupuestaria, Financiera y Tributaria, en su disposición adicional 6ª, núm. 3, en cuanto crea un gravamen complementario para 1983 a la Tasa de juego sobre máquinas de azar, por poder infringir la misma los artículos 137.7,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mismo órgano jurisdiccional ha planteado otras cuestiones en relación a idéntico precepto legal y con base en las mismas fundamentaciones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del pasado, por darse los presupuestos previstos en el artículo 83 de la Ley Orgánica del Tribunal Constitucional (LOTC), habiéndose formulado en las mismas alegaciones por el Fiscal General del Estado y por el Abogado del Estado, en representación del Gobierno, en solicitud de que el Tribunal dicte en su día Sentencia. Se hallan, pues, conclusas, pendientes de señalamiento para deliberación y votación. En las registradas con los números 578, 579, 580, 581, 642, 643, 644, 645, 646, 685 y 704, de 1985, el Tribunal acordó no acceder a la acumulación solicitada y decidió suspender la tramitación de cada uno de los procesos hasta que recayera Sentencia en las ya acumuladas, en razón a facilitar la más pronta resolución en éstas y 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el Fiscal General del Estado se persona mediante escrito presentado el 16 de diciembre de 1985, en el que reproduce las alegaciones formuladas en la cuestión número 377/85, e interesa asimismo la suspensión de la tramitación hasta que recaiga Sentencia en las ya acumuladas.</w:t>
      </w:r>
    </w:p>
    <w:p w:rsidRPr="00C21FFE" w:rsidR="00AD51A7" w:rsidRDefault="008777C4">
      <w:pPr>
        <w:rPr/>
      </w:pPr>
      <w:r w:rsidRPr="&lt;w:rPr xmlns:w=&quot;http://schemas.openxmlformats.org/wordprocessingml/2006/main&quot;&gt;&lt;w:lang w:val=&quot;es-ES_tradnl&quot; /&gt;&lt;/w:rPr&gt;">
        <w:rPr/>
        <w:t xml:space="preserve">El Letrado del Estado se persona mediante escrito presentado el 26 de diciembre de 1985 y formula alegaciones en solicitud de que en su día se dicte Sentencia y, por otrosí que se acumule la presente cuestión a las ya acumuladas por Auto de 16 de julio de 1985.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y las enumeradas en el Antecedentes 2º, aparecen promovidas en relación con el mismo precepto de la Ley 5/1983, de 29 de junio, dándose por lo tanto los presupuestos de conexión objetiva que permiten, de acuerdo con el artículo 83 de la LOTC,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la existencia en este Tribunal de varias cuestiones promovidas en relación a idéntico precepto de la citada Ley, en las que se consideró más oportuno que acceder a la acumulación suspender el curso de los respectivos procesos, en razón a no retardar excesivamente la conclusión de los ya acumulados, porque cada incidente de acumulación que se inicia supone la paralización de las cuestiones implicadas en tanto se sustancia el mismo, y a que la Sentencia que recaiga surtirá efectos en las demás cuestiones, obliga en el presente caso a mantener el mismo criterio.</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1033/85 a las ya acumuladas señaladas en el Antecedente 2º.</w:t>
      </w:r>
    </w:p>
    <w:p w:rsidRPr="" w:rsidR="00AD51A7" w:rsidRDefault="008777C4">
      <w:pPr>
        <w:rPr/>
      </w:pPr>
      <w:r w:rsidRPr="&lt;w:rPr xmlns:w=&quot;http://schemas.openxmlformats.org/wordprocessingml/2006/main&quot;&gt;&lt;w:szCs w:val=&quot;24&quot; /&gt;&lt;/w:rPr&gt;">
        <w:rPr/>
        <w:t xml:space="preserve">2º.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