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por providencia de la Sección 4ª de 13 de noviembre de 1985, en relación con la Ley 5/1983, de 29 de junio, de Medidas Urgentes en Materia Presupuestaria, Financiera y Tributaria, en su disposición adicional 6ª núm. 3, en cuanto crea un gravamen complementario para 1983 a la tasa de juego sobre máquinas de azar, por poder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46 y 447, todas ellas de 1985, fueron acumuladas por Auto del Pleno de 16 de julio del pasado, por darse los presupuestos previstos en el artículo 83 de la Ley Orgánica del Tribunal Constitucional (LOTC), habiéndose formulado en las mismas alegaciones por el Fiscal General del Estado y por el Letrado del Estado, en representación del Gobierno, en solicitud de que el Tribunal dicte en su día Sentencia. Se hallan, pues, conclusas, pendientes de señalamiento para deliberación y votación. En las registradas con los números 578, 579, 580, 581, 642, 643, 644, 645, 646, 685 y 704,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9 de diciembre de 1985, en el que reproduce las alegaciones formuladas en la cuestión número 377/85, e interesa asimismo la suspensión de la tramitación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12 de diciembre de 1985 y formula alegaciones en solicitud de que en su día se dicte Sentencia y, por otrosí que se acumule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excesivaemtne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956/85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