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6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por providencia de la Sección segunda de 8 de enero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23 y 1033,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22 de enero de 1986, en el que formula alegaciones en solicitud de que en su día se dicte Sentencia, e interesa asimismo la acumulación de la presente cuestión a las ya acumuladas por Auto de 16 de julio de 1985.</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24 de enero último y, solicita la suspensión de la tramitación de la presente cuestión, como se ha acordado en otras similares, hasta que recaiga sentencia en las ya acumuladas, reproduciendo las alegaciones efectuadas en relación con la cuestión 377/85.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articulo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1205/85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