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noviembre de 1985 tuvo entrada en este Tribunal Constitucional la demanda de amparo interpuesta por don Carlos Vilareyo Díaz y doña María Lidia Villamil Fernandez, representados por el Procurador don Federico J. Olivares Santiago, contra la resolución del Capitán General de la Séptima Región Militar de fecha 17 de octubre de 1985 adoptada en las diligencias previas nº 311/85 del Juzgado Instructor del Regimiento de Infantería Príncipe nº 3 de Noreña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Capitán General de la Séptima Región Militar dispuso en las diligencias previas nº 311/85 mediante resolución del 28 de junio de 1985, de acuerdo con lo dictaminado por el Auditor, la terminación de las mismas, instruidas en averiguación de las circunstancias en las que se produjo el fallecimiento del soldado Carlos Ángel Vilareyo Villamil, ocurrido el 26 de mayo de 1985 mientras realizaba ejercicios de tiro. La mencionada resolución se funda en la comprobación del suicidio del fallecido soldado y en la ausencia de responsabilidades de terceras personas que habría arrojado la investigación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18 de julio los recurrentes, padres del soldado muerto en las circunstancias expuestas, se presentaron ante el Capitán General de la Séptima Región Militar proporcionando una versión diferente de los hechos, según la cual "cuando el 5º Pelotón de la Sección disparaba tiro a tiro, en posición de cuerpo a tierra y en linea, al soldado Carlos Ángel Vilareyo Villamil se le encasquilló el arma, por lo que se incorporó poniendose de rodillas y el arma en posición vertical, manipulando el cerrojo, con tal mala suerte que en ese momento se le disparo el arma, penetrando la bala por la región frontal derecha causándole la muerte instantánea". De acuerdo con los demandantes esta versión "fue recogida por el padre de la victima entre los compañeros de la misma". Consecuentemente los recurrentes solicitaron la reapertura de las diligencias previas nº 311/85 y además que se les ofrezcan las acciones de los arts.109 y 110 L.E.Cr., permitiéndoseles constituirse en parte en dichas actuaciones procesales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Capitán General de la Séptima Región Militar dispuso, con fecha 17 de octubre de 1985, la reapertura de las diligencias previas solicitadas por los recurrentes, pero desestimó su petición de tenerlos por parte en las mismas, apoyándose para ello en el art. 452 C.J.M. cuyo último párrafo establece que "en ningún caso se admitirá la acción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alega la violación del derecho de los recurrentes a la tutela efectiva de los Jueces y Tribunales y a no quedar indefensos, contenido en el art. 24.1 de la CE, toda vez que se le deniega la posibilidad de ejercer las acciones que surgen del art. 110 L.E.Cr., a favor de los perjudicados por el delito o falta que sea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4 de diciembre de 1985 la Sección dispuso otorgar al Ministerio Público y a los demandantes del amparo un plazo de diez días para que, dentro del mismo, aleguen lo que estimen conveniente respecto a la posible concurrencia del motivo de inadmisión previsto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estimó que no se ha violado el derecho de los recurrentes a la tutela judicial efectiva porque, si bien no se los ha tenido por parte, en las diligencias previas del procedimiento prevenido en el art. 517 C.J.M. "no puede hablarse de una actividad propiamente judicial, sino previa", razón por la cual no cabe hablar en este caso de partes, "que es -se agrega- una noción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los recurrentes insistieron en la interpretación flexible del art. 452.2 C.J.M. en la que fundamentaron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manifiestamente de contenido que justifique un pronunciamiento de parte del Tribunal Constitucional. En efecto, en el escrito de 18 de julio de 1985 en el que formulan su interpretación de los hechos, los recurrentes aclaran que atribuyen el hecho a la "mala suerte" con que el fallecido soldado manipuló el cerrojo de su arma. Ello implica que el hecho no es atribuido a persona alguna, sino a circunstancias que o bien-se imputan a la propia víctima o se consideran fortuitas. Por lo tanto, la pretensión de los recurrentes de ejercer las acciones civiles y penales no se apoya en la comisión de delito alguno. Bajo estas condiciones es evidente que no corresponde tenerlos por parte en las diligencias previas, toda vez que es presupuesto tanto de la acción penal, como de la civil derivada de la comisión de un delito, que el actor pretenda la persecución de un hecho punible. La aclaración de si el hecho que motivó las diligencias previas es constitutivo de un suicidio o si debe atribuirse a la "mala suerte", resulta ser una pretensión que, como es claro, no tiene entidad para generar un derecho al ejercicio de la acción penal ni a la civil derivada del delito, dado que nada tiene que ver con la comprobación y sanción de un hecho punible ni con las indemnizaciones que podrían derivarse del mismo. En consecuencia, no cabe entrar a considerar aquí si el art. 452 C.J.M. ha sido o no interpretado de acuerdo con la Constitución, y la jurisprudencia de este Tribunal pues ello no podría modificar en nada el resultado al que llega la decisión impugnada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