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5 de diciembre de 1985 tuvo entrada en este Tribunal Constitucional la demanda de amparo interpuesta por el Procurador don José Pérez Templado, en nombre y representación de don José Villafuerte León, dirigida contra la Sentencia de la Audiencia Provincial de Córdoba de 12 de noviembre de 1985, que estimó el recurso de apelación del querellante contra la Sentencia del Juez de Instrucción 4 de Córdoba, de 23 de junio, por la que se absolvió al recurrente respecto del delito de estafa. En la sentencia de la Audiencia se condena al recurrente a la pena de cuatro meses y un día de arresto mayor y a indemnizar al querellante en seis millones ochocientas mil pesetas (6.800.000). En la demanda se solicitaba por "otrosí" la suspensión del fallo de la sentencia recurrida, ya que dicha ejecución podría ocasionar un perjuicio irreparable al recurrente, toda vez que en la misma se fija una cuantiosa indemnización que se haría efectiva mediante la realización del inmueble en que dicho recurrente tiene tanto su vivienda como su taller de trabajo, perdiendo por tanto el recurso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fue admitida a trámite por Providencia de 15 de enero de 1986, en la que se ordenó asimismo la formación de la correspondiente pieza separada para la sustanciación de la suspensión solicitada, así como otorgar un plazo común de tres días al Ministerio Fiscal y al recurrente a fin de que aleguen lo que estimen procedente respecto de la suspensión solicitada. El recurrente reiteró las argumentaciones expuestas en el otrosí de su escrito de demanda. Por su parte el Ministerio Fiscal manifestó que el recurrente solicitaba la suspensión sólo respecto a la indemnización civil, pero que entendía que su dictamen debía referirse a la totalidad. Respecto a la indemnización advierte que al tener un contenido puramente económico la ejecución de la misma no haría perder al amparo su finalidad, pues las cantidades entregadas podrían ser devueltas si hubiese lugar a ello, sin que pueda presumirse la posterior insolvencia del obligado a ello. Sin embargo, el hecho de que la total ejecución de la sentencia, con el eventual embargo de los bienes del recurrente crearía una situación que no podría repararse integramente con la simple devolución de las cantidades ejecutadas y el hecho también de que la efectividad de las penas de privación de libertad causaría por su propia naturaleza un perjuicio que haría perder al amparo su finalidad, si este prosperase, hace que pudiera acordarse la suspensión con fianza suficiente.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Ley Orgánica del Tribunal Constitucional (LOTC) establece un supuesto de suspensión preceptiva, que deberá acordarse cuando la ejecución del acto por razón del cual se reclama el amparo hubiese de ocasionar un perjuicio que haría perder a aquél su finalidad, aunque podrá denegarse la suspensión cuando de ella pueda seguirse perturbación grave de los intereses generales o de los derechos fundamentales o libertades públicas de un tercero. Junto a este supuesto de suspensión preceptiva este Tribunal ha reconocido otros de suspensión facultativa en los cuales puede concederse ésta valorando todos los intereses en presencia, teniendo en cuenta también, a tal efecto, el interés general que existe en la ejecución de las resoluciones judiciales, en relación con la previsibilidad, en cuanto sea posible hacerla, de que se estime el recurso de amparo (entre otros, Auto de 25 de abril de 1985, R.A. 116/85).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aunque como señala el Ministerio Fiscal la petición de suspensión parece referirse especialmente al pago de la indemnización deberá, sin embargo considerarse junto a este extremo de la parte dispositiva de la sentencia, el relativo a la pena de privación de libertad. Respecto a ésta, el hecho de que su dilación sea presumiblemente inferior al tiempo en que suelen resolverse los recursos de amparo hace que su eventual ejecución haga perder su finalidad al amparo, en la hipótesis de que éste se otorgue. Y en cuanto a la indemnización prevista en la sentencia, si bien al tratarse del pago de una cantidad de dinero cabe la posibilidad de recuperarla en su caso, es lo cierto que, como advierte el recurrente y manifiesta el Ministerio Fiscal, el riesgo de que la ejecución de esa cantidad prive a aquel de sus medios de trabajo supone la posibilidad de un daño también de imposible o dificil reparación. Todo ello aconseja acceder a la suspensión solicitada, si bien y para la debida protección de los intereses de la otra parte y teniendo en cuenta lo dispuesto en el art. 56.2 de la LOTC procede exigir al recurrente que preste afianzamiento suficiente para asegurar en su caso el pago de la cantidad a que fue condenado.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suspender la ejecución de la sentencia impugnada, condicionando la suspensión a que el recurrente preste afianzamiento bastante en la forma que considere oportuna el órgano judicial competente, al objeto de asegurar el pago en su caso de 6.800.000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