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planteó la presente cuestión de inconstitucionalidad, admitida a trámite por providencia de la Sección Tercera de 8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 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lo Contencioso-Administrativo de la Audiencia Territorial de Pamplona,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436,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y 1033,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30 de enero de 1986, en el que formula alegaciones en solicitud de que en su día se dicte Sentencia, e interesa asimismo la acumulación de la presente cuestión a las ya acumuladas por Auto de 16 de julio de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24 de enero último reproduciendo las alegaciones formuladas en la cuestión de inconstitucionalidad número 1.178/85 suscitada por la misma Sala de la Audiencia de Cáceres.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1182/85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