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esta Tribunal el pasado 19 de febrero de 1985, D. Juan Ignacio Quintana Montero solicita le sean nombrados Abogado y Procurador de turno de oficio, a los efectos de formalizar recurso de amparo en relación a suspuestas omisiones o actuaciones de la Sala Segunda del Tribunal Supremo en el trámite de admisión de recurso de casación interpuesto por el solicitante de amparo y ello por entender que dicho órgano judicial quebranta derechos reconocidos en los artículos 14 y 24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20 de marzo de 1985 la Sección 1ª de la Sala Primera de este Tribunal, acuerda tener por interpuesto recurso de amparo por D. Juan Ignacio Quintana Montero y librar los despachos necesarios para la designación del turno de oficio de Procurador y Letrado que representen y defiendan al mismo en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Recibidas las correspondientes comunicaciones por las que se designa Procurador y Letrado en turno de oficio a Dª Mª Francisca Hermida Alberti y Dª Mª Rosario Hernández Diaz y a D. Carlos Navarro Gutiérrez respectivamente, la Sección por providencia de 8 de mayo de 1985, acuerda hacerles saber su nombramiento y darles vista de todas las actuaciones para que en el plazo de diez días, si considerasen que son suficientes los hechos consignados en el escrito de interposición, formalicen la correspondiente demanda de amparo, todo ello sin perjuicio del derecho del Letrado a excusarse de la defensa si estimare que es insostenible la pretensión que quiere hacer valer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21 de mayo de 1985, el Procurador D. Carlos Navarro Gutiérrez solicita de este Tribunal que se requiera a D. Juan Ignacio Quintana Montero para que amplie y aclare el escrito inicial conforme se solicita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29 de mayo de 1985, la Sección acuerda tener por recibido el escrito del Procurador Sr. Navarro Gutiérrez y requerir al recurrente Sr. Quintana Montero para que en el plazo de diez días aclare los extremos que en el mismo se solicitan.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de 8 de octubre de 1985 el Procurador D. Carlos Navarro Gutiérrez, manifiesta que el Letrado designado de oficio, una vez instruido de las actuaciones del presente recurso, no considera sostenible la pretensión formulada por el recurrente y solicita se le tenga por excusado de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16 de octubre de 1985, la Sección acuerda, de conformidad con lo dispuesto en el art. 38 de la Ley de Enjuiciamiento Civil, remitir testimonio de los presentes autos al mencionado Consejo General de la Abogacia para que se emita dictamen, en el plazo de seis días, sobre si puede o no sostenerse en juicio la pretensión que quiere hacer valer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Recibido con fecha 5 de diciembre de 1985 el escrito del Consejo General de la Abogacia en el mismo se indica, que la Junta de Gobierno del Ilustre Colegio de Abogados de Madrid estima que la pretensión planteada por D. Juan Ignacio Quintana Montero no puede sostener el recurso de amparo y mantener así la acción pretendida por el mencionado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13 de diciembre de 1985 se dio traslado del mencionado dictamen del Consejo General de la Abogacia al Ministerio Fiscal quien, con fecha 23 de diciembre de 1985 emitió el dictamen previsto en el art. 39 de la L.E.C. manifestando que no es procedente, por inviable,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8 de enero de 1986, la Sección decide dejar sin efecto la defensa acordada por pobre y requerir al Sr. Quintana Montero para que dentro del plazo de diez días se persone en el procedimiento, si asi le conviene, con Abogado y Procurador a su cargo, plazo que transcurre sin que el interesado cumplimente dicho requisito.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establece en su art.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el que el demandante de amparo había solicitado el nombramiento de Abogado y Procurador en turno de oficio por carecer de recursos económicos, se han cumplido los trámites establecidos para garantizar en esta situación la representación técnica y la defensa letrada. No obstante, al informar desfavorablemente el Abogado nombrado de oficio sobre el sostenimiento de la acción pretendida por el recurrente y pronunciarse en el mismo sentido, tanto la Junta de Gobierno del Ilustre Colegio de Abogados de Madrid así como el Ministerio Fiscal, la Sección procedió a dejar sin efecto la defensa acordada por pobre y requerir al demandante para que se persone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la no comparecencia del solicitante de amparo con la debida postulación dentro del plazo concedido produce la caducidad del recurso, pues, como ha señalado este Tribunal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producida la extinción del proceso abierto por el escrito de demanda de amparo de D. Juan Ignacio Quintana Montero,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