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abril de 1986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>La Sección ha examinado el recurso de amparo promovido por doña María Teresa Calvo Leonor y otras personas.</w:t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Ante este Tribunal se siguió el presente recurso de amparo a instancia de doña María Teresa Calvo Leonor y otras personas contra Sentencia de la Sección Primera de la Sala de lo Contencioso-Administrativo de la Audiencia Nacional. El recurso fue resuelto por Sentencia de 26 de marzo de 1985 que condenó a la parte recurrente al pago de las costas.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A petición de parte, en 18 de septiembre de 1985 se practicó tasación de costas que fue notificada a las partes y que contenía las siguientes partidas: 1.ª Honorarios del Abogado de los demandados don Federico García y García Santamaría según minuta, 350.000 pesetas; 2.ª Honorarios del Abogado del Estado según minuta, 50.000 pesetas; 3.ª Honorarios del Abogado codemandado don Félix del Olmo Pastor, 110.000 pesetas; 4.ª Impuestos sobre Actos Jurídicos Documentados, 6.480 pesetas.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De las referidas partidas fueron impugnadas las tres primeras; la primera de ellas por excesiva; la segunda por improcedente, y la tercera, asimismo, por improcedente, alegándose que el señor Del Olmo no es Abogado ejerciente; alternativamente, la representación recurrente impugnaba las dos referidas minutas también por excesivas.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Sobre la impugnación formularon los Letrados impugnados las alegaciones a que se refiere el art. 427 de la Ley de Enjuiciamiento Civil, manteniendo todos la conformidad a Derecho de sus minutas de honorarios. 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Tras de lo cual, y conforme al mismo precepto procesal, se emitió dictamen por el Colegio de Abogados de Madrid, que ha sido favorable a la aprobación de las minutas de los señores García y del Olmo.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Unico.  La impugnación por excesiva de la minuta del Letrado señor García y García Santamaría se remite a una valoración comparativa con relación a otros procesos de este Tribunal y a la consideración de que no es el presente un asunto complejo.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Y, ciertamente, puede decirse que a una sencilla resultancia final se ha llegado desde la inicial complejidad aparente aportada por la demanda, en buena parte con la colaboración del Letrado cuyos honorarios se impugnan y que se estiman razonablemente proporcionados al trabajo efectuado.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En cuanto a la minuta del Letrado señor del Olmo, no es de estimar la afirmación de que no es valorable el trabajo del Abogado que se defiende a sí mismo, sea o no ejerciente, aunque el del codemandado lo es.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Y en cuanto a los honorarios del Letrado del Estado, los más reducidos de cuantos se han incluido en la tasación, se estiman ajustados a Derecho cualquiera que sea la perspectiva desde la que se aborde su valoración.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Por lo expuesto, la Sección acuerda aprobar, en todas sus partidas, la tasación de costas de 18 de septiembre pasado y otorgar a la representación demandante un plazo de diez días para que justifique haber hecho efectivas a sus titulares las minutas de los Letrados señores García y del Olmo, partidas 1.ª y 3.ª; y para que abone en este Tribunal el importe de las partidas 2.ª y 4.ª de la tasación aprobada.</w:t>
      </w:r>
    </w:p>
    <w:p w:rsidRPr="" w:rsidR="00AD51A7" w:rsidRDefault="008777C4">
      <w:pPr>
        <w:rPr/>
      </w:pPr>
      <w:r w:rsidRPr="&lt;w:rPr xmlns:w=&quot;http://schemas.openxmlformats.org/wordprocessingml/2006/main&quot;&gt;&lt;w:szCs w:val=&quot;24&quot; /&gt;&lt;/w:rPr&gt;">
        <w:rPr/>
        <w:t xml:space="preserve">Todo ello bajo apercibimiento de procederse en otro caso a su exacción por la vía de apremio.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nueve de abril de mil novecientos ochenta y seis.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