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Distrito de Montijo dictó sentencia el 19 de febrero de 1985 absolviendo a D. Juan Lobo Gil de las lesiones ocasionadas al recurrente en un accidente de tráfico por aplicación de la eximente de caso fortuito del art. 6 bis, b) del Código Penal, reconociéndose a favor del damnificado el título ejecutivo que prevé el art. 10 de la Ley de Uso y Circulación de Vehiculos de 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sentencia fue apelada por el recurrente y confirmada por el Juzgado de Instrucción de Mérida, que mediante sentencia de 7 de junio de 1985 desestimó el recurso de apelación, aunque modificó los hechos probados afirmando que la causa de no detención del vehículo del acusado fue un desperfecto mecánico de los frenos.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estimó que ambas sentencias violan el art. 24 de la Constitución Española y solicitó se le designe Procurador y Abogado del turno de oficio. Manifiesta en este sentido que carece de bienes y que sólo percibe el salario mínimo interprofesional. Por providencia de 25 de septiembre de 1985 la Sección dispuso requerir que el recurrente acredite los requisitos exigidos para gozar del beneficio de justicia gratuita. Cumplidos tales extremos se designó Abogado y Procurador del turno de oficio por providencia de 20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presentada el 23 de diciembre de 1985 por la Procuradora Dª Paloma Tapia Gutiérrez, alega que la sentencia recurrida viola el art. 24.1 de la CE. pues se habria vulnerado su derecho de defensa, toda vez que el conductor del automóvil y denunciado en el proceso de faltas D. Juan Lobo Gil no habría probado los hechos por el alegados, agregando que no cabe afirmar "que los hechos producidos por el conductor del vehículo se atribuyan a un caso fortuito, ya que en el caso fortuito según reiterada doctrina legal y jurisprudencia, se exige la diligencia debida, y esta no se ha producido ni remotamente".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enero de 1986 la Sección dispuso conceder un plazo común de diez días al Ministerio Fiscal y al recurrente para que dentro del mismo aleguen lo que estimen corresponder respecto de la concurrencia del motivo de inadmisión previsto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se pronunció por la inadmisión del amparo, dado que, a su juicio, el recurrente no habria solicitado la prueba referente a la rotura de frenos en su momento, y su discrepancia con la valoración de la prueba practicada no producirla lesión alguna de un derecho fundamental. El recurrente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en forma manifiesta de contenido que justifique un pronunciamiento de parte del Tribunal Constitucional. En efecto, los dos argumentos sobre los que se apoya la demanda carecen de fuerza para demostrar la lesión jurídica alegada. En primer lugar, el acusado en un juicio de faltas no está obligado - como pretende el demandante- a probar su inocencia, porque ello seria contrario al art. 24.2 de la C.E., que presume inocente al acusado en cualquier proceso penal. En segundo lugar tampoco es admisible el argumento basado en la falta de prueba de obrar diligente del conductor del vehículo que colisionó con el del recurrente. Esta prueba solo seria de importancia si la apreciación del caso fortuito requiriera, verdaderamente, como presupuesto un obrar diligente. Tal exigencia, sin embargo, es sólo consecuente en un derecho penal fundado en el versari in re illicita, pero totalmente incompatible con un derecho penal de culpabilidad como el exigido por el respeto de la dignidad de la persona que consagra el art. 10.1 CE. y con las definiciones contenidas en el art. 1 C.P. a partir de la reforma introducida por Ley Orgánica 8/83, de 25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decretar la inadmisión a trámite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