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María, Doña Victoria y Doña Manuela Pérez Redondo, interpone recurso de amparo constitucional mediante escrito presentado en Juzgado de Guardia el día 5 de febrero de 1 986. El recurso se dirige contra la Providencia de la Magistratura de Trabajo nº 1 de Córdoba, dictada en autos número 382 de 1981 de trece de diciembre de 1985, por entender que vulnera el artículo 24.1 de la Constitución con fundamento en las alegaciones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Dª Elvira Redondo Gutiérrez, D. Manuel y D. Bernardo Pérez Redondo, forman parte de una entidad sin personalidad jurídica denominada "Comunidad de Herederos de D. Diego Pérez Campanario, o Aceites y Derivados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1982y, no habiéndose hecho constar tal hecho en las actuaciones judiciales, en trámite de ejecución de sentencia la representación de los codemandados presentó demanda incidental para que se constituyera correctamente la relación procesal, al menos por lo que hacia al 66,6% de cuota de que la fallecida era titular, la demanda incidental fue presentada el 12 de diciembre de 1985, declarando que "no ha lugar alo interesado". Debe señalarse asimismo que los hijos de la referida señora han aceptado la herencia a beneficio de inventario,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Dª Elvira Redondo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 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1ª acuerda tener por admitido el escrito y por personado y parte, en nombre y representación de Dª María, Dª Victoria</w:t>
      </w:r>
    </w:p>
    <w:p w:rsidRPr="00C21FFE" w:rsidR="00AD51A7" w:rsidRDefault="008777C4">
      <w:pPr>
        <w:rPr/>
      </w:pPr>
      <w:r w:rsidRPr="&lt;w:rPr xmlns:w=&quot;http://schemas.openxmlformats.org/wordprocessingml/2006/main&quot;&gt;&lt;w:lang w:val=&quot;es-ES_tradnl&quot; /&gt;&lt;/w:rPr&gt;">
        <w:rPr/>
        <w:t xml:space="preserve">y D. Manuel Pérez Redondo, al Procurador de los Tribunales D. Luciano Rosch Nadal, haciéndole saber la concurrencia de los motivos de inadmisión previstos en los artículos 50.1.b) en conexión con el artículo 44.1.a), ambos de la Ley Orgánica del Tribunal Constitucional (LOTC), por no haberse interpuesto contra la providencia impugnada el recurso de reposición previsto en el artículo 151 de la Ley de Procedimiento Laboral (LPL), y en el art. 50.2. b) de la LOTC, por carecer la demanda manifiestamente de contenido constitucional. Asimismo, se acuerda abrir plazo común de diez días a la parte y al Ministerio Fiscal para que formulen las alegaciones que consideren convenientes, aplazándose la decisión en relación con la suspensión solicita 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 (STC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 tegrando en ella a la herencia de la referida Señora, resulta sumamente extraño, como subraya el Ministerio Fiscal, que durante 3 años no hayan hecho manifiestación alguna en este sentido, y sólo en diciembre de 1985, cuando se estaba en trámite de ejecusión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 aplicada por la representación 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