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Cáceres, en su recurso número 46/85, planteó la presente cuestión de inconstitucionalidad, admitida a trámite por providencia de la Sección Primera de 29 de enero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articulos 134.7, 9.3</w:t>
      </w:r>
    </w:p>
    <w:p w:rsidRPr="00C21FFE" w:rsidR="00AD51A7" w:rsidRDefault="008777C4">
      <w:pPr>
        <w:rPr/>
      </w:pPr>
      <w:r w:rsidRPr="&lt;w:rPr xmlns:w=&quot;http://schemas.openxmlformats.org/wordprocessingml/2006/main&quot;&gt;&lt;w:lang w:val=&quot;es-ES_tradnl&quot; /&gt;&lt;/w:rPr&gt;">
        <w:rPr/>
        <w:t xml:space="preserve">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fundamentacicnes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 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y, solicita la suspensión de la tramitación de la presente cuestión, como se ha acordado en otras similares, hasta que recaiga sentencia en las ya acumuladas, reproduciendo las alegaciones efectuadas en relación con la cuestión 1.178/85.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asimismo la acumulación de la presente cuestión a las ya acumuladas por Auto de 16 de julio de 1 .985.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77/86,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