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362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numero 243/84, planteó la presente cuestión de inconstitucionalidad, admitida a trámite por providencia de la Sección Cuarta de 5 de febrero de 1.986, en relación con la Ley 5/1983, de 29 de junio, de Medidas Urgentes en Materia Presupuestaria, Financiera y Tributaria, en su disposición adicional 6ª número 3, en cuanto crea un gravamen complementario para 1983 a la Tasa de juego sobre máquinas de azar, por poder infringir la misma los artículos 134. 7, 9.3 y 14, en relación con el 33.3 de la Constitución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Territoriales de Pamplona y Cáceres, han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presupuestos previstos en el artículo 83 de la Ley Orgánica del Tribunal Constitucional (L0TC),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 En las registradas con los números 578, 579, 580, 581, 642, 643, 644, 645, 646, 685, 704, 1019, 1033, 1061, 1088, 1139, 1159. 1177, 1178, 1182, 1203, 1204 y 1205, de 1.985, el Tribunal acordó no acceder a la acumulación solicitada y decidió suspender la tramitación de cada uno de los procesos hasta que recayera Sentencia en las ya acumuladas, en razón a facilitar la más pronta resolución en éstas y 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el Fiscal General del Estado se persona medíante escrito presentado el 5 de Marzo último y, solicita la suspensión de la tramitación de la presente cuestión, como se ha acordado en otras similares, hasta que recaiga sentencia en las ya acumuladas, reproduciendo las alegaciones efectuadas en relación con la cuestión 1139/85.</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pre sentado el 6 de marzo de 1986, en el que formula alegaciones en solicitud de que en su día se dicte Sentencia, e interesa asimismo la acumulación de la presente cuestión a las ya acumuladas por Auto de 16 de julio de 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artículo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 da Ley, en las que se consideró más oportuno que acceder a la acumulación suspender el curso de los respectivos procesos, en razón a no retardar excesivamente la conclusión de los ya acumulados, porque cada incidente de acumulación que se inicia supone la paralización de las cuestiones implicadas en tanto se sustancia el mismo, obliga en la presente a mantener el mismo criterio,</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94/86, a las acumuladas señaladas en el Antecedente 2ª.</w:t>
      </w:r>
    </w:p>
    <w:p w:rsidRPr="" w:rsidR="00AD51A7" w:rsidRDefault="008777C4">
      <w:pPr>
        <w:rPr/>
      </w:pPr>
      <w:r w:rsidRPr="&lt;w:rPr xmlns:w=&quot;http://schemas.openxmlformats.org/wordprocessingml/2006/main&quot;&gt;&lt;w:szCs w:val=&quot;24&quot; /&gt;&lt;/w:rPr&gt;">
        <w:rPr/>
        <w:t xml:space="preserve">2.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