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Valencia,en su recurso número 30/85, planteó la presente cuestión de inconstitucionalidad, admitida a trámite por providencia de la Sección Tercera de 19 de febrero de 1.986, en relación con la Ley 5/1985, de 29 de junio, de Medidas Urgentes en Materia Presupuestaria, Financiera y Tributaria, en su disposición adicional 6ª, núm. 3, en cuanto crea un gravamen complementario para 1983 a la Tasa de juego sobre máquinas de azar, por poder infringir la misma los articulos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de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Ectado y por el Abogado del Estado, en representación del Gobierno, en solicitud de que el Tribunal dicte en su dia Sentencia. Se hallan, pues, conclusas, pendientes de señalamiento para deliberación y votación. En las registradas con los números 578, 579, 580, 581, 642, 643, 644, 645, 646, 685, 704, 1019, 1033, 1061, 1088, 1139, 1159, 1177, 1178, 1182, 1203, 1204 y 1205 de 1 .985,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último y solicita la suspensión de la tramitación de la presente cuestión, como se ha acordado en otras similares, hasta que recaiga sentencia en las ya acumuladas, reproduciendo las alegaciones efectuadas en relación con la cuestión 1088/85.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14 de marzo de 1.986, en el que formula alegaciones en solicitud de que en su día se dicte Sentencia, e interesa asimismo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mas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145/86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