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en su recurso número 50/85, planteó la presente cuestión de inconstitucionalidad, admitida a trámite por providencia de la Sección Primera de 19 de marzo de 1986, en relación con la Ley 5/1983, de 29 de junio, de Medidas Urgentes en Materia Presupuestaria, Financiera y Tributaria, en su disposición adicional 6ª, número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380,381, 389, 390, 395, 396, 397, 398, 399, 400, 430, 431, 444, 445,446 y 447, todas ellas de 1985, fueron acumuladas por Auto del Pleno de 16 de julio del pasado año,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1019, 1033, 1061, 1088, 1139, 1159, 1177, 1178, 1182, 1203, 1204 y 1205,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Letrado del Estado, se persona mediante escrito presentado el 10 de abril último, en el que formula alegaciones en solicitud de que en su día se dicte Sentencia, e interesa asimismo la acumulación de la presente cuestión a las ya acumuladas por Auto de 16 de julio de 1985.</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presentado el 11 de abril último y solicita la suspensión de la tramitación de la presente cuestión, como se ha acordado en otras similares, hasta que recaiga sentencia en las ya acumuladas.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obliga en la presente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248/86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