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presentado el 14 de marzo pasado el Procurador don Fernando Álvarez Asa, en nombre y representación de don José María Sainz Higuera García, formalizó demanda incidental de pobreza para litigar en el recurso de amparo 1002/85, alegando que su representado carece de bienes totalmente y de rentas de cualquier clase, que no tiene profesión en la actualidad pues acaba de salir de prisión y que no satisface contribución de clase alguna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Oidos el Letrado del Estado y el Ministerio Fiscal, el primero manifestó que no sea opone a la declaración de pobreza y el segundo que tampoco se opone a ello, dados los términos del Acuerdo del Pleno de este Tribunal de 20 de diciembre de 1982, lo dispuesto en el artículo 14 de la Ley de Enjuiciamiento Civil redactado por Ley 34/84, de 6 de agosto y lo alegado en la demanda incidental.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Siendo notorio que el demandante está comprendido en el supuesto del artículo 14 de la Ley de Enjuiciamiento Civil y no habiéndose opuesto el Ministerio Fiscal, ni el Letrado del Estado a la concesión del beneficio solicitado procede otorgarla de acuerdo con lo dispuesto en el art. 42 del Acuerdo Plenario de este Tribunal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conceder el beneficio de justicia gratuita a Don José María Sainz Higuera García para litigar en el recurso de amparo número 1002/85.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