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febrero de 1986, tuvo entrada en este Tribunal Constitucional el recurso de amparo interpuesto por D. Juan Antonio Balbis Marqués, representado por la Procuradora Dª Maria Jesús González Diez, contra el Auto de la Sección Segunda de la Audiencia Nacional de 19 de noviembre de 1985, confirmado por el Pleno del mismo Tribunal mediante Auto de 16 de enero de 1986, por el que se acordó su extradición a Francia.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detenido por la Policía Española el 31 de marzo de 1985 en Maspalomas (España) como consecuencia de la solicitud de extradición por las autoridades francesas, apoyada en la orden de arresto del Juez de Instrucción de Tolón (Francia) en que se le identifica como subdito francés con el nombre de Jean Antoine Balbis. El Consejo de Ministros en sesión de 22 de mayo de 1985 acordó la continuación del procedimiento de extradición. La orden de arresto del Juez de Tolón imputa al recurrente haber participado junto a otras personas en el tráfico de varias toneladas de hachis entre Marruecos y Francia. En el proceso de extradición la defensa del recurrente se opuso a la misma alegando la nacionalidad española del requerido apoyándose en el artículo 3º, 1 de la Ley 4/85, de 21 de marzo, de Extradición pasiva.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la Sección 2ª de la Audiencia Nacional, de 19 de noviembre de 1985, desestimó las alegaciones del recurrente fundándose en que "hasta el momento en que la defensa evacuó el trámite de instrucción, tanto en el País requierente como las Policías española y francesa, como el Juzgado, han venido designando al reclamado como el subdito francés de Jean Antoine Balbis". Esta situación, junto con la tenencia de pasaporte francés y la residencia del requerido en Francia hasta que dejó ese país buscado por los hechos que se le imputan, llevó al Tribunal a considerar que la inscripción del recurrente como ciudadano español en el Registro Civil Central el día 25 de octubre de 1985 constituye, en realidad, un "hecho con el fraudulento propósito de hacer imposible su extradición". En consecuencia la Sección entendió aplicable el articulo 3º, 1 de la Ley 4/85, de 21 de marzo y, por lo tanto, accedió a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la Audiencia Nacional desestimó el recurso de súplica presentado contra el Auto de 19 de noviembre de 1985, mediante Auto de 16 de enero de 1986. En éste, la Audiencia Nacional reiteró que la obtención de la inscripción en el Registro Civil Español tenia carácter fraudulento y, que por lo tanto, debia accederse a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estima vulnerado su derecho a la tutela judicial efectiva pues los autos recurridos rechazaron sus argumentaciones "sin entrar realmente a dilucidarlo". De acuerdo con ello el Tribunal Constitucional, dice la demanda, debe establecer si el recurrente ha sido siempre español, aun cuando no se hallare inscrito en el Registro Civil como tal. Asimismo, alega el recurrente, que los autos recurridos carecen de motivación y, además, son incongruentes entre 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 de abril de 1986 la Sección dispuso conceder al Ministerio Fiscal y al recurrente un plazo común de diez días para que aleguen lo que estimen conveniente en relación al motivo de inadmisión previsto en el artículo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estima que "la aplicación que hizo de la normativa vigente la Audiencia Nacional quedará reducida a una cuestión de mera legalidad ordinaria ajena al conocimiento del T.C.". Por lo tanto interesa del Tribunal Constitucional la inadmisión del presente recurso por aplicación del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recurrente resume en esta oportunidad procesal los argumentos expuestos ante la Audiencia Nacional y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carece en forma manifiesta de contenido que justifique un pronunciamiento en forma de sentencia. Los tres motivos del recurso no son sino otras tantas diferentes formas de expresar un mismo argumento por parte de quien se alza en amparo. Según éste los autos recurridos no podrían considerarse fundados en derecho porque han entendido incorrectamente que la tardía invocación de la ciudadanía española supone una acción fraudulenta destinada a impedir la extradición por aplicación del artículo 3º-l de la Ley 4/85. Sin embargo, los autos recurridos no son constitucionalmente objetables. En efecto, la Audiencia Nacional no necesitaba, como pretende el recurrente, pronunciarse sobre si éste tuvo siempre nacionalidad española o si la adquirió al inscribirse recientemente en el Registro Civil Central como español. La cuestión que se juzgaba en el proceso de extradición se referia al trato que corresponde a una persona con doble nacionalidad que durante muchos años no ha ejercitado la española y opta por ejercerla en el último momento del proceso de extradición. Como tal, se trata de una cuestión de legalidad ordinaria que los autos recurridos han resuelto con argumentación juridica suficiente y sin que hayan producido lesión alguna de derechos fundamentales del recurrente, en la medida en que la decisión que han adoptado es compatible con los textos legales aplicados y con los hechos probados de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