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517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su recurso número 24/85, plantea cuestión de inconstitucionalidad, admitida a trámite por providencia de 7 de mayo de 1986 de la Sección Segunda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infringir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Cáceres han planteado también cuestiones de inconstitucionalidad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de 1985, fueron acumuladas por auto del Pleno de 16 de julio del pasado año, por darse los presupuestos previstos en el 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1019, 1033, 1061, 1088, 1139, 1159, 1177, 1178, 1182, 1203, 1204, 1205, de 1985, y 75, 76, 77, 78, 79, 80, 81, 93, 94, 95, 145, 146, 246, 248 y 311, de 1986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de 28 de mayo último y solicita de este Tribunal que, a semejanza de lo acordado en otras similares, suspenda la tramitación de la misma hasta que recaiga sentencia en las ya acumuladas.</w:t>
      </w:r>
    </w:p>
    <w:p w:rsidRPr="00C21FFE" w:rsidR="00AD51A7" w:rsidRDefault="008777C4">
      <w:pPr>
        <w:rPr/>
      </w:pPr>
      <w:r w:rsidRPr="&lt;w:rPr xmlns:w=&quot;http://schemas.openxmlformats.org/wordprocessingml/2006/main&quot;&gt;&lt;w:lang w:val=&quot;es-ES_tradnl&quot; /&gt;&lt;/w:rPr&gt;">
        <w:rPr/>
        <w:t xml:space="preserve">El Letrado del Estado formula sus alegaciones en escrito presentado el 31 de mayo último, y solicita que en su día se dicte Sentencia y por otrosí interesa la suspensión de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acceder a la acumulación, con el fin de no retardar excesivamente la conclusión de los ya acumulados -dado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lº. Denegar la acumulación de la cuestión 459/86 a las ya acumuladas señaladas en el Antecedente segundo.</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