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marzo de 1986 tuvo entrada en este Tribunal Constitucional la demanda de amparo interpuesta por D. Adolfo Olloqui Arnedo, representado por el Procurador de los Tribunales D. Luciano Rosch Nadal, dirigida contra el auto de procesamiento dictado por el Juzgado 1 de Zaragoza el 14 de mayo de 1985, en el sumario 124/85, y los autos de la Audiencia Provincial de Zaragoza de 27 de enero de 1986 y 12 de febrero por los que se desestimaron respectivamente los recursos de queja y de súplica interpuestos contra el referido auto deprocesamiento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Instrucción de Zaragoza dictó el día 14 de mayo de 1985 auto de procesamiento contra el recurrente y su hijo por entender que concurrían los extremos previstos en el artículo 348 de la Ley de Enjuiciamiento Criminal (L.E.Cr.) en relación con el delito del artículo 519 del Código Penal. De acuerdo con este auto: "de lo actuado en el presente Sumario tramitado por el Procedimiento Especial de Urgencia y registrado con el número 124/85, el cual deviene de las Diligencias Previas 6/85, aparece indiciariamente acreditado que en los autos de juicio ejecutivo registrados al número 1.254 de 1982, a instancia del Banco Guipúzcoano S.A. contra Adolfo Olloqui Arnedo y otros, con fecha 5 de septiembre de 1982, se procedió por el Juzgado de lª Instancia número Uno de Zaragoza al embargo de todas las acciones de la Sociedad Olloqui Arellano e Hijos S.A. Con fecha 23 de junio de 1983, y mediante escritura otorgada ante el Notario D. José Vélez Coste, se precede por Adolfo Olloqui Arnedo, a hacer donación pura y simple de dos acciones, número 132 y 138, de la referida sociedad, por un valor nominal de 10.000 pesetas cada una a su hijo Adolfo Olloqui Domínguez, y con fecha 3 de septiembre de 1983 vende él mismo 24 acciones de dicha sociedad por un valor nominal de 240.000 pesetas. Todo ello después de haber tenido conocimiento del embargo trabado sobre las acciones y con intención de eludir las responsabilidades dimanantes del procedimiento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este auto de procesamiento se interpuso recurso de reforma que el Juzgado de Instrucción desestimó por Auto de 10 de julio de 1985 afirmando que "con independencia del resultado de ulteriores diligencias, las practicadas hasta el momento y esta fase de instrucción sumarial han evidenciado la irregular conducta de los procesados y la apariencia racional de un ílicito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27 de enero de 1986, la Audiencia Provincial de Zaragoza desestimó el recurso de queja presentado por el procesado, remitiéndose a los fundamentos del auto de procesamiento. Del mismo modo la Sala, por Auto de 12 de febrero de 1986, rechazó el recurso de súplica interpuesto por el hoy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alega, en primer lugar, la vulneración del derecho a la tutela judicial efectiva de los Jueces y Tribunales, pues entiende que "de las actuaciones judiciales no surge en forma alguna una base suficientemente firme para que de ella pueda inferirse indiciariamente unos presuntos indicios de criminalidad del procesado". En segundo lugar, alega la violación del derecho a la presunción de inocencia, pues el Juzgado de Instrucción y la Audiencia habrían "mantenido una mera afirmación de hechos, no ya incurriendo en la falta de cualquier argumentación o razonamiento, sino estableciendo sin apoyo o referencia a cualquier dato, prueba, antecedente o diligencia... sin ni siquiera apreciar la posibilidad de no delito que surge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en su Providencia de 3 de abril de 1986 dispuso conceder al Ministerio Fiscal y al recurrente un plazo común de diez días para alegaciones respecto de la posible concurrencia del motivo de inadmisión previsto en el artícu lo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sostiene que existe "un mínimo de fundamento indiciario en el procesamiento y no se ha vulnerado el derecho a la tutela judicial efectiva pues aquél se motivó de manera suficiente". Asimismo, estima que el procesamiento del recurrente no infringe el derecho a la presunción de inocencia dado que el auto recurrido cumple con las exigencias respecto de los indicies que son propias de su naturaleza. Por todo ello el Ministerio Fiscal interesa del Tribunal Constitucional la inadmisión a trámite de la presente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abunda en su punto de vista respecto de la carencia de fundamentos jurídicos del auto recurrido. En su opinión, el auto de procesamiento es una resolución de fondo con respecto a la instrucción sumarial, la cual requiere "un silogismo lógico y aún deontológico, decisorio y eficaz" que debe vertebrarse en resultados y considerandos concretos, con premisas integradas por datos o hechos de realidad contrastada, no hipótesis".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una decisión en forma de sentencia por parte del Tribunal Constitucional. En efecto, no puede considerarse que el auto de procesamiento recurrido comprometa el derecho a la tutela judicial efectiva, pues de su lectura se desprende que se trata de una decisión jurídicamente fundada en los términos exigidos por el artículo 24.1 de la Constitución. En este sentido cabe señalar que el auto de procesamiento ahora combatido no sólo pone de manifiesto los hechos consistentes en un traspaso de acciones embargadas, sino también los elementos de prueba de los que el Juzgado de Instrucción ha extraído sus conclusiones respecto de los mismos (actuaciones judiciales donde se decretó el embargo y escritura pública donde se documentó la operación mencionada). Asimismo el auto de procesamiento sostiene que estos hechos se subsumen prima facie bajo el tipo penal del artículo 519 del Código Penal. Una decisión, por lo tanto, que establece los hechos y el Derecho aplicable con razonamientos provisionales adecuados para la etapa procesal del artículo 384 L.E.Cr., como en este caso, cumple con las exigencias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no resulta admisible el punto de vista del recurrente respecto de la lesión del derecho a la presunción de inocencia. Sobre esta cuestión este Tribunal ha declarado en reiteradas ocasiones que un procesamiento caprichoso o arbitrario vulneraría, más que la presunción de inocencia, el derecho a la tutela judicial efectiva. Pero cuando se dan realmente indicios racionales de criminalidad o cuando el procesamiento se motiva y se apoya en pruebas que pueden constituir un mínimo fundamento indiciarlo de culpabilidad no se vulnera ningún derecho fundamental. En el caso que ahora nos ocupa, la prueba documental invocada y la comprobación de la enajenación de acciones embargadas, que son el fundamento del auto recurrído, satisfacen indudablemente el mínimo de fundamento indiciario requerido a los efectos del delito del artículo 519 del Código Penal por el que se procesó al recurrente. De acuerdo con el artículo 384 de la Ley de Enjuiciamiento Criminal.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no admitir a trámite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