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609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en su recurso número 120/85, planteó la presente cuestión de inconstitucionalidad, admitida a trámite por providencia de 28 de mayo de 1986 de la Sección Tercera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que puede infringir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Territoriales de Pamplona y Cáceres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1019, 1033, 1061, 1088, 1139, 1159, 1177, 1178, 1182, 1203, 1204, 1205, de 1985, y 75, 76, 77, 78, 79, 80, 81, 93, 94, 95, 145, 146, 246, 248, 311, 424 y 475, de 1986, el Tribunal acordó no acceder a la acumulación solicitada y decidió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 de 18 de junio último y solicita la suspensión de la misma hasta que recaiga sentencia en las varias acumuladas que están en trámite.</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de 28 de junio último y solicita también, por otrosí, que se suspenda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proceder a su acumulación, con el fin de no retardar excesivamente la conclusión de los ya acumulados dado que cada incidente de acumulación supone la paralización de las cuestiones implicadas en tanto se sustancia, obliga en la presente cuestión a mantener el mismo criterio, tal como ha sido solicitado por el Ministerio Fiscal y el Letrado del Estado.</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