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671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marzo de 1986 tuvo entrada en este Tribunal Constitucional la demanda de amparo interpuesta por D. Alvaro Llopis Llopis, representado por el Procurador D. Juan Corujo López Villamil, dirigida contra la Sentencia de la Sala Segunda del Tribunal Supremo de 4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absuelto por la Audiencia Provincial de Palma de Mallorca mediante Sentencia de 19 de octubre de 1983, en relación al delito de injurias graves cometidas por escrito y sin publicidad por el que venía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querellantes recurrieron en casación, formalizando el recurso en un único motivo al amparo del nº 1 del art. 849 L.E.Cr. por no haberse aplicado el art. 458.2º, o en su caso, 3º y 4º CP., en relación a los arts. 457 y 459 del mismo Código. El Tribunal Supremo en su Sentencia de 4 de marzo de 1986 estimó el recurso de los querellantes, condenando al recurrente por entender reunidos tanto los elementos objetivos del tipo de injurias como el "animus injuriandi" requerido por el delito. Consecuentemente, en la segunda Sentencia, dictada en la misma fecha, condenó al recurrente a la pena seis meses y un día de destierro por el delito de injurias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en primer lugar, la violación del derecho a la presunción de inocencia (art. 24.2) por entender que no existió en el proceso una mínima actividad probatoria que sea de cargo. La Sala Segunda del Tribunal Supremo, alega el recurrente, al admitir el "animus injuriandi", cuya existencia negó el Tribunal de instancia habría modificado los hechos probados infringiendo el derecho a la presunción de inocencia. Asimismo, la demanda invoca la vulneración del art. 24.1 CE. en cuanto garantiza el derecho a la tutela judicial efectiva. Entiende el recurrente que una sentencia dictada "sin datos o elementos objetivados, sino aplicando simplemente criterios de indagación de intenciones" sería incompatible con el art. 24.1 CE. Por último,el recurrente sostiene que la sentencia recurrida habría vulnerado su derecho a la intimidad (art. 18, 1º C.E.) porque en la valoración de los hechos el Tribunal Supremo se habría apoyado exclusivamente en criterios subjetivos respecta de la intención íntima de una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7 de mayo de 1986 la Sección dispuso conceder al Ministerio Fiscal y al recurrente un plazo común de diez días para que dentro del mismo alegaran lo que estimasen pertinente respecto del motivo de inadmisión previsto en el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se pronunció por la inadmisión a trámite de la demanda por aplicación del art. 50.2.b) LOTC. En este sentido sostuvo que no se percibe la vulneración del art. 24 CE. porque la demanda de amparo "se dirige en definitiva a discrepar de la valoración de una prueba de cargo que existe, hecha por el Tribunal Supremo, tratando de sustituirla por la valoración del Tribunal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reiteró simplemente los derechos constitucionales que estima vulnerados.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en forma manifiesta, de contenido que justifique un pronunciamiento de parte del Tribunal Constitucional. En primer lugar debe señalarse que no cabe admitir una lesión por la sentencia recurrida del derecho a la presunción de inocencia (art. 24.2 CE.). En efecto,la Sala Segunda del Tribunal Supremo no ha introducido modificación alguna en los hechos que el Tribunal de instancia tuvo por probados, sino que se ha pronunciado estrictamente  sobre la subsunción de los mismos. Como es sabido, la determinación en el proceso de los elementos subjetivos del delito,en este caso el "animus injuriandi", es en todos los casos consecuencia de una interpretación del comportamiento exteriorizado por el autor. Sobre esta base el Tribunal Supremo ha interpretado la conducta del recurrente y llegado a la conclusión que su obrar se subsume bajo el tipo penal de las injurias, afirmando para ello la correspondencia del elemento subjetivo que se revela en los hechos probados con las exigencias del "animus injuriandi". En ello no se han supuesto circunstancias ajenas a los hechos probados, sino que, simplemente, se ha establecido que quien tiene conocimiento de las expresiones injuriosas utilizadas -como surge de los hechos probados- obra con "animus injuriandi". Comprobado que no estamos sino ante una cuestión de aplicación del derecho, no cabe admitir, como se dijo, lesión alguna del derecho a presunción de inocencia, toda vez que éste sólo se refiere a la determinación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mismas razones son suficientes para rechazar también los agravios del recurrente fundados en los arts. 24.1 y 18.1 CE., ya que aquéllos no contienen sino una repetición de las cuestiones ya planteadas en relación al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inadmitir a trámite la presente demanda de amparo y archivar las actuaciones, sin que haya lugar a pronunciarse sobre la suspensión de la ejecución de la sentencia oportunamente solicitada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