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269/84, planteó la presente cuestión de inconstitucionalidad, admitida a trámite por providencia de 25 de junio de 1986 de la Sección Tercera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articulos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Cáceresy Valencia han planteado también otras cuestiones en relación al mismo precepto legal y basándose en la misma fundamentación que la señalada en el Antecedente anterior, encontrándose todas ellas admitidas a trámite .</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articulo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311, 424, 475 y 550, de 1986, el Tribunal acordó no acceder a la acumulación so 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15 de julio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16 de julio último y solicita también, por otrosí, que se suspenda la tramitación de la presente cuestión hasta que recaiga sentencia definitiva sobre las que con el mismo objeto han sido acu 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