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752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25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138/85, planteó la presente cuestión de inconstitucionalidad, admitida a trámite por providencia de 16 de julio de 1986, de la Sección tercera de este Tribunal, en relación con la disposición adicional 6º,número 3, de la Ley 5/1983, de 29 de junio, de Medidas Urgentes en Materia Presupuestaria, Financiera y Tributaria, en cuanto crea un gravamen complementario para  1983 a la Tasa de juego sobre máquinas de azar, por estimar que puede infringir los artículos 9.3 y 137.7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de Pamplona, Cáceres, Valencia y Santa Cruz de Tenerife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377,378,379,380,381,389,390,395,396,397,398,400,430,431,444,445,446 y 447, todas ellas de 1985, fueron acumuladas por auto del Pleno de 16 de julio del pasado año, por darse los presupuestos previstos en elartículo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1202, 1204, 1205, de 1985, y 75, 76, 77, 78, 79, 80, 81, 93, 94, 95, 145, 146, 246, 248, 311, 424, 475, 550, 568, 572, 664, y 718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escritos de 28 de julio último y solicita la suspensión de la misma hasta que recaiga sentencia en las varias acumuladas que están en trámite.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de 10 de septiembre último y solicita también,por otrosí, que se suspenda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 tal como ha sido solicitado por el Ministerio Fiscal y el Letrado del Estado.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