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se dirige contra la Sentencia de 22 de noviembre de 1985, dictada por el Juzgado de Instrucción de Cazorla gue condenó a cada uno de los recurrentes como autores responsables de un delito del artículo 42.1.e) de la Ley de Caza, a la pena de multa de cinco mil pesetas y privación de la licencia de caza o del derecho a obtenerla por dos años; y contra la Sentencia de 11 de abril de 1986 dictada por la Audiencia Provincial de Jaén gue confirmó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8 de agosto de 1986, una vez designados Abogado y Procurador de oficio a los recurrentes, se presentó la demanda de amparo fundada en el artículo 25.1 de la Constitución, solicitándose en ella por medio de otrosí la suspensión de la ejecución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la demanda, la Sección Tercera acordó formar la pieza separada de suspensión y otorgar al Ministerio Fiscal y a los recurrentes, conforme a lo dispuesto en el artículo 56.2 de la L.O.T.C., el plazo de tres días para formular alegaciones en orden a la suspensión solicitada.</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2 de octubre de 1986, se opuso a la suspensión por lo siguiente: en cuanto al pago de la multa el recurso no perdería su finalidad "pues está asegurada su devolución"; y en lo relativo a la privación de obtener la licencia de caza durante dos años, debe prevalecer el interés público implícito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Los recurrentes gue en la demanda se limitaron a solicitar la suspensión, no presentaron escrito alguno en el trámite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Y en el mismo precepto se añade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 arreglo a este precepto, para el otorgamiento o denegación de la suspensión hay que ponderar el interés del recurrente en que no pierda el recurso la finalidad que se pretende y el interés público que comporta la ejecución de las resoluciones judiciales. En el presente caso debe prevalecer el interés público o general de ejecución de las Sentencias judiciales; de una parte, porque el pago de la multa no hace perder al recurso su finalidad, toda vez que, como dice el Ministerio Fiscal, está garantizada la devolución caso de anularse la Sentencia recurrida; y de otra, porque la demora en el uso o la obtención de la licencia de caza durante el tiempo en que se sustancie este recurso que ha de ser inferior, al plazo de dos años que la Sentencia establece, no tiene entidad suficiente para oponerse al interés público de la ejecutoriedad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resuelve que no procede acordar la suspensión de la ejecución de la Sentencia dictada el 22 de noviembre de 1985 por el Juzgado de Instrucción de Cazorla, objeto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