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938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Juan Pulido Espada, representado por el Procurador de los Tribunales D. Jesús Alfaro Matos, interpuso recurso de amparo, por escrito que tuvo entrada en este Tribunal el día 16 de mayo de 1986. El amparo se solicita contra Sentencia dictada el 8 de abril anterior por la Magistratura de Trabajo 1 de Córdoba, en autos nº 899/85, sobre despido. A juicio del recurrente la resolución impugnada vulneraba 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11 de junio de 1986, puso de manifiesto a las partes la posible concurrencia del motivo de inadmisión previsto en el art. 50. 2.b de la Ley Orgánica del Tribunal Constitucional (LOTC), concediéndoles un plazo común de diez dias para formular las oportunas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actora evacuó el trámite correspondiente, ratificando su demanda y el Ministerio Fiscal lo hizo considerando inadmisible la demanda, al concurrir el motivo de inadmisión puesto de manifiesto en la providencia de 11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Auto de 22 de octubre último acordó la inadmisión del recurso, por carecer la demanda de amparo manifiestamente de contenido constitucional, resolución que fue notificada el 29 de octubre siguiente al Ministerio Fiscal y el 30 del mismo mes y año al Procurador Sr. Alfaro Matos.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presentado en el Registro General del Tribunal Constitucional el 7 de noviembre de 1986, solicita que se corrija el error material obrante en el auto de 22 de octubre de 1986, consistente en la inclusión del último párrafo del apartado 4 de los antecedentes, donde se dice que el Ministerio Fiscal concluye solicitando que se otorgue el amparo pedido, siendo así que dicho Ministerio pidió en todo momento la inadmisión, como así consta en el párrafo 2º del mencionado apartado 4º.</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Conforme establece el apartado 2 del art. 267 de la Ley Orgánica del Poder Judicial aplicable con carácter supletorio en esta jurisdicción constitucional por disposición del art. 80 de la LOTC, los errores materiales manifiestos y los aritméticos podrán ser rectificados en cualquier momento.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rectificar el Auto dictado en las presentes actuaciones el 22 de octubre de 1986 en el sentido de suprimir del mismo el párrafo: "Concluye el Ministerio Fiscal solicitando de este Tribunal que dicte Sentencia en la que, otorgándose el amparo pedido, se anule la Sentencia de 8 de abril de 1986 de la Magistratura nº 1 de Córdoba y se declare su derecho a que se dicte Sentencia de fondo, por no haber caducado la acción."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