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mayo pasado tuvo entrada en este Tribunal un escrito de doña Isabel Fernández Gómez solicicitando amparo frente al Auto del Juzgado de Instrucción de Berja, de fecha 10 de marzo anterior, dictado en diligencias previas número 1195/85, confirmado en apelación. En el referido escrito se pedía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se acordó recabar de los respectivos Colegios la designación solicitada, hecha la cual, se acordó por providencia de 24 de septiembre otorgar a los designados un plazo de veinte días para que formalizasen las demandas de amparo y de justicia gratuita, habiendo transcurrido dicho plazo sin que se haya presentado escrito alguno, ni siquiera de excusa de la 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No habiéndose cumplimentado el trámite conferido dentro del plazo otorgado, procede declarar caducado dicho trámite; caducidad que en este caso comporta la del recurso mismo ya que la carencia de demanda implica la carencia de objeto del proceso en aquella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la caducidad del recurso de amparo promovido por doña Isabel Fernández Gómez y comunicarlo así al Ilustre Colegio de Abogados de Madrid al que se remitirá qopia de este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