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1025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27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131/85, planteó la presente cuestión de inconstitucionalidad, admitida a trámite por providencia de 29 de octubre de 1986, de la Sec- -ción Segunda de este Tribunal, en relación con la disposición adicional 6ª, número 3, de la Ley 5/1983, de 29 de junio, de Medidas Urgentes en Materia Presupuestaria, Financiera y Tributaria, en cuanto crea un gravamen complementario para 1983 a la Tasa de juego sobre máguinas de azar, por estimar que puede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de Pamplona, Cáceres, Valencia y Santa Cruz de Tenerife,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475, 550, 568, 572, 664, 718, 729, 753, 754, 864, 865, 993 y 1082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18 de noviembre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22 de noviembre último y solicita también, por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 que cada incidente de acumulación supone la paralización de las cuestiones implicadas en tanto se sustancia, obliga en la presenté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