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457/85, planteó la presente cuestión de inconstitucionalidad, admitida a trámite por providencia de 29 de octubre de 1986, de la Sección Tercera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de Pamplona, Cáceres, Valencia y Santa Cruz de Tenerife,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550, 568, 572, 664, 718, 729, 753, 754, 864, 865, 993 y 1082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18 de noviembre último y solicita la suspensión de la misma hasta que recaiga sentencia en las varias acumuladas que están en trá 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22 de noviembre último y solicita también, 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