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su recurso 176/85, planteó la presente cuestión de inconstitucionalidad, admitida a trámite por providencia de 26 de noviembre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gue puede infringir los articulos 1.1, 9.3, 14, 17.1, 31 (1 y 2) y 134.7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 377, 378, 379, 380, 381, 389, 390, 395, 396, 397, 398, 399, 400, 430, 431, 444, 445, 446 y 447, todas ellas de 1985, fueron acumuladas por auto del Pleno de 16 de julio del pasado año, por darse los presupuestos previstos en el articulo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y 1119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Letrado del Estado se persona, mediante escrito de 17 de diciembre último, en el que solicita se dicte sentencia por la que se declare la plena constitucionalidad de la Disposición Adicional 6a.3 de la Ley 5/1983, de 29 de junio, de medidas urgentes en Materia Presupuestaria, Financiera y Tributaria.</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de 18 de diciembre último y solicita la suspensión de la presente cuestión hasta que recaiga sentencia en las varias acumuladas que están en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 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